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68F7C" w14:textId="77777777" w:rsidR="00C57B40" w:rsidRDefault="00C57B40" w:rsidP="00C57B40">
      <w:pPr>
        <w:spacing w:line="360" w:lineRule="auto"/>
        <w:jc w:val="right"/>
        <w:rPr>
          <w:b/>
        </w:rPr>
      </w:pPr>
      <w:r>
        <w:rPr>
          <w:b/>
        </w:rPr>
        <w:t>Приложение 1</w:t>
      </w:r>
    </w:p>
    <w:p w14:paraId="2CFB3707" w14:textId="77777777" w:rsidR="00C57B40" w:rsidRPr="00C57B40" w:rsidRDefault="00C57B40" w:rsidP="00C57B40">
      <w:pPr>
        <w:spacing w:line="360" w:lineRule="auto"/>
        <w:jc w:val="right"/>
      </w:pPr>
      <w:r>
        <w:t>к</w:t>
      </w:r>
      <w:r w:rsidRPr="00C57B40">
        <w:t xml:space="preserve"> аналитической справке </w:t>
      </w:r>
    </w:p>
    <w:p w14:paraId="3C7ADD1D" w14:textId="77777777" w:rsidR="00C57B40" w:rsidRPr="00C57B40" w:rsidRDefault="00C57B40" w:rsidP="00C57B40">
      <w:pPr>
        <w:spacing w:line="360" w:lineRule="auto"/>
        <w:jc w:val="right"/>
      </w:pPr>
      <w:r w:rsidRPr="00C57B40">
        <w:t>по результатам</w:t>
      </w:r>
      <w:r w:rsidRPr="00C57B40">
        <w:t xml:space="preserve"> инновационной деятельности </w:t>
      </w:r>
    </w:p>
    <w:p w14:paraId="508165A5" w14:textId="77777777" w:rsidR="00C57B40" w:rsidRPr="00C57B40" w:rsidRDefault="00C57B40" w:rsidP="00C57B40">
      <w:pPr>
        <w:spacing w:line="360" w:lineRule="auto"/>
        <w:jc w:val="right"/>
      </w:pPr>
      <w:r w:rsidRPr="00C57B40">
        <w:t>ГБОУ 49, ГБОУ 5</w:t>
      </w:r>
    </w:p>
    <w:p w14:paraId="0F25490E" w14:textId="77777777" w:rsidR="00C57B40" w:rsidRDefault="00C57B40" w:rsidP="00FF3625">
      <w:pPr>
        <w:spacing w:line="360" w:lineRule="auto"/>
        <w:jc w:val="both"/>
        <w:rPr>
          <w:b/>
        </w:rPr>
      </w:pPr>
    </w:p>
    <w:p w14:paraId="247056F5" w14:textId="77777777" w:rsidR="00C57B40" w:rsidRDefault="00C57B40" w:rsidP="00FF3625">
      <w:pPr>
        <w:spacing w:line="360" w:lineRule="auto"/>
        <w:jc w:val="both"/>
        <w:rPr>
          <w:b/>
        </w:rPr>
      </w:pPr>
    </w:p>
    <w:p w14:paraId="04C4C9AD" w14:textId="77777777" w:rsidR="00FF3625" w:rsidRDefault="00FF3625" w:rsidP="00FF3625">
      <w:pPr>
        <w:spacing w:line="360" w:lineRule="auto"/>
        <w:jc w:val="both"/>
        <w:rPr>
          <w:b/>
        </w:rPr>
      </w:pPr>
      <w:r w:rsidRPr="00EE4AEA">
        <w:rPr>
          <w:b/>
        </w:rPr>
        <w:t>Анализ диагностических материалов по оценке результатов деятельности (базовой и д</w:t>
      </w:r>
      <w:r w:rsidRPr="00EE4AEA">
        <w:rPr>
          <w:b/>
        </w:rPr>
        <w:t>и</w:t>
      </w:r>
      <w:r w:rsidRPr="00EE4AEA">
        <w:rPr>
          <w:b/>
        </w:rPr>
        <w:t xml:space="preserve">намической диагностики </w:t>
      </w:r>
      <w:r w:rsidR="00C57B40">
        <w:rPr>
          <w:b/>
        </w:rPr>
        <w:t>обучающихся</w:t>
      </w:r>
      <w:r w:rsidRPr="00EE4AEA">
        <w:rPr>
          <w:b/>
        </w:rPr>
        <w:t xml:space="preserve"> образовательных учреждений-участников сетевого кластера</w:t>
      </w:r>
      <w:r w:rsidR="00C57B40">
        <w:rPr>
          <w:b/>
        </w:rPr>
        <w:t>.</w:t>
      </w:r>
    </w:p>
    <w:p w14:paraId="0C79AF11" w14:textId="77777777" w:rsidR="00C57B40" w:rsidRPr="00EE4AEA" w:rsidRDefault="00C57B40" w:rsidP="00FF3625">
      <w:pPr>
        <w:spacing w:line="360" w:lineRule="auto"/>
        <w:jc w:val="both"/>
        <w:rPr>
          <w:b/>
        </w:rPr>
      </w:pPr>
    </w:p>
    <w:p w14:paraId="333DE203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>В качестве исследуемых групп согласно программе эксперимента, утверждённой Комит</w:t>
      </w:r>
      <w:r w:rsidRPr="00EE4AEA">
        <w:t>е</w:t>
      </w:r>
      <w:r w:rsidRPr="00EE4AEA">
        <w:t xml:space="preserve">том по образованию, в </w:t>
      </w:r>
      <w:r w:rsidR="00C57B40">
        <w:t>период реализации проекта инновационной деятельности</w:t>
      </w:r>
      <w:r w:rsidRPr="00EE4AEA">
        <w:t xml:space="preserve"> приняли участие обучающиеся 2х и 6х классов школ сетевого кластера (</w:t>
      </w:r>
      <w:r w:rsidRPr="00C57B40">
        <w:t>в составе обучающихся, прошедших базовую психолого-педагогическую диагностику на первом этапе инновационной деятельности по настоящему проекту в 2017/2018 уч.г. и сформированных по признаку наличия синдрома дефицита внимания и гиперактивности</w:t>
      </w:r>
      <w:r w:rsidRPr="00EE4AEA">
        <w:t>).</w:t>
      </w:r>
    </w:p>
    <w:p w14:paraId="681467D3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>На этапе базовой диагностики (2017/2018 учебный год) в исследовании, проведённом на базе школы № 5, приняли участие 80 детей. Из них учащиеся 1 классов – 29, 1 дополнительного класса – 22, 5 классов – 29. У всех обследованных детей в медицинских сведениях имеется ди</w:t>
      </w:r>
      <w:r w:rsidRPr="00EE4AEA">
        <w:t>а</w:t>
      </w:r>
      <w:r w:rsidRPr="00EE4AEA">
        <w:t xml:space="preserve">гноз СДВГ. В исследовании, проведённом на базе школы-интерната № 49, приняли участие 55 детей, из них учащиеся 1 класса - 35, учащиеся 5 класса – 20. У 5 обследованных учащихся 1 класса и 2 обследованных учащихся 5 класса в медицинских сведениях имеется диагноз СДВГ. У прочих обследованных учащихся школы-интерната имеются признаки </w:t>
      </w:r>
      <w:proofErr w:type="spellStart"/>
      <w:r w:rsidRPr="00EE4AEA">
        <w:t>синдромального</w:t>
      </w:r>
      <w:proofErr w:type="spellEnd"/>
      <w:r w:rsidRPr="00EE4AEA">
        <w:t xml:space="preserve"> ди</w:t>
      </w:r>
      <w:r w:rsidRPr="00EE4AEA">
        <w:t>а</w:t>
      </w:r>
      <w:r w:rsidRPr="00EE4AEA">
        <w:t xml:space="preserve">гноза СДВГ, основанного на психолого-педагогических проявлениях. </w:t>
      </w:r>
    </w:p>
    <w:p w14:paraId="71E00894" w14:textId="77777777" w:rsidR="00FF3625" w:rsidRPr="00EE4AEA" w:rsidRDefault="00FF3625" w:rsidP="00FF3625">
      <w:pPr>
        <w:spacing w:line="360" w:lineRule="auto"/>
        <w:ind w:firstLine="567"/>
        <w:jc w:val="both"/>
        <w:rPr>
          <w:color w:val="FF0000"/>
        </w:rPr>
      </w:pPr>
      <w:r w:rsidRPr="00EE4AEA">
        <w:t>На этапе динамической диагностики (2018/2019 учебный год) в исследовании, проведё</w:t>
      </w:r>
      <w:r w:rsidRPr="00EE4AEA">
        <w:t>н</w:t>
      </w:r>
      <w:r w:rsidRPr="00EE4AEA">
        <w:t>ном на базе школы № 5, приняли участие 59 детей. Из них учащиеся 2 классов – 29, 6 классов – 30. У всех обследованных детей в медицинских сведениях имеется диагноз СДВГ. В исследов</w:t>
      </w:r>
      <w:r w:rsidRPr="00EE4AEA">
        <w:t>а</w:t>
      </w:r>
      <w:r w:rsidRPr="00EE4AEA">
        <w:t xml:space="preserve">нии, проведённом на базе школы-интерната № 49, приняли участие 46 детей, из них учащиеся 2 класса - 30, учащиеся 6 класса – 16. </w:t>
      </w:r>
      <w:r w:rsidRPr="007B2FF6">
        <w:t xml:space="preserve">У 7 обследованных учащихся 2 класса и 2 обследованных учащихся 6 класса в медицинских сведениях имеется диагноз СДВГ. </w:t>
      </w:r>
      <w:r w:rsidRPr="00C57B40">
        <w:t xml:space="preserve">У прочих обследованных учащихся имеются признаки </w:t>
      </w:r>
      <w:proofErr w:type="spellStart"/>
      <w:r w:rsidRPr="00C57B40">
        <w:t>синдромального</w:t>
      </w:r>
      <w:proofErr w:type="spellEnd"/>
      <w:r w:rsidRPr="00C57B40">
        <w:t xml:space="preserve"> диагноза СДВГ,</w:t>
      </w:r>
      <w:r w:rsidRPr="007B2FF6">
        <w:t xml:space="preserve"> основанного на психолого-педагогических проявлениях.</w:t>
      </w:r>
      <w:r w:rsidRPr="00EE4AEA">
        <w:rPr>
          <w:color w:val="FF0000"/>
        </w:rPr>
        <w:t xml:space="preserve"> </w:t>
      </w:r>
    </w:p>
    <w:p w14:paraId="3AB60A6E" w14:textId="77777777" w:rsidR="00C57B40" w:rsidRDefault="00FF3625" w:rsidP="00FF3625">
      <w:pPr>
        <w:spacing w:line="360" w:lineRule="auto"/>
        <w:ind w:firstLine="567"/>
        <w:jc w:val="both"/>
      </w:pPr>
      <w:r w:rsidRPr="00EE4AEA">
        <w:t xml:space="preserve"> </w:t>
      </w:r>
    </w:p>
    <w:p w14:paraId="74BAF0C1" w14:textId="77777777" w:rsidR="00C57B40" w:rsidRDefault="00C57B40" w:rsidP="00FF3625">
      <w:pPr>
        <w:spacing w:line="360" w:lineRule="auto"/>
        <w:ind w:firstLine="567"/>
        <w:jc w:val="both"/>
      </w:pPr>
    </w:p>
    <w:p w14:paraId="42B3114D" w14:textId="77777777" w:rsidR="00FF3625" w:rsidRPr="00EE4AEA" w:rsidRDefault="00C57B40" w:rsidP="00FF3625">
      <w:pPr>
        <w:spacing w:line="360" w:lineRule="auto"/>
        <w:ind w:firstLine="567"/>
        <w:jc w:val="both"/>
      </w:pPr>
      <w:bookmarkStart w:id="0" w:name="_GoBack"/>
      <w:bookmarkEnd w:id="0"/>
      <w:r w:rsidRPr="00EE4AEA">
        <w:rPr>
          <w:b/>
        </w:rPr>
        <w:lastRenderedPageBreak/>
        <w:t>Обобщённое</w:t>
      </w:r>
      <w:r w:rsidR="00FF3625" w:rsidRPr="00EE4AEA">
        <w:rPr>
          <w:b/>
        </w:rPr>
        <w:t xml:space="preserve"> заключение по результатам базовой диагностики</w:t>
      </w:r>
      <w:r w:rsidR="00FF3625" w:rsidRPr="00EE4AEA">
        <w:t>.</w:t>
      </w:r>
    </w:p>
    <w:p w14:paraId="6AAB941B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Развитие внимания у первоклассников обеих исследуемых групп находится на низком уровне. При выполнении корректурной пробы дети допускали большое количество ошибок, ч</w:t>
      </w:r>
      <w:r w:rsidRPr="00EE4AEA">
        <w:t>а</w:t>
      </w:r>
      <w:r w:rsidRPr="00EE4AEA">
        <w:t xml:space="preserve">сто отвлекались, испытывали трудности включения в работу. Внимание характеризуется как истощаемое и неустойчивое. </w:t>
      </w:r>
    </w:p>
    <w:p w14:paraId="535DC78B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Развитие памяти у первоклассников обеих групп соответствует среднему уровню во</w:t>
      </w:r>
      <w:r w:rsidRPr="00EE4AEA">
        <w:t>з</w:t>
      </w:r>
      <w:r w:rsidRPr="00EE4AEA">
        <w:t xml:space="preserve">растного развития. Развитие зрительной непроизвольной памяти несколько ниже, чем развитие зрительной произвольной памяти, что соответствует нормативным показателям. Развитие </w:t>
      </w:r>
      <w:proofErr w:type="spellStart"/>
      <w:r w:rsidRPr="00EE4AEA">
        <w:t>сл</w:t>
      </w:r>
      <w:r w:rsidRPr="00EE4AEA">
        <w:t>у</w:t>
      </w:r>
      <w:r w:rsidRPr="00EE4AEA">
        <w:t>хо</w:t>
      </w:r>
      <w:proofErr w:type="spellEnd"/>
      <w:r w:rsidRPr="00EE4AEA">
        <w:t>-речевой памяти – на среднем уровне.  Анализ «кривой запоминания» позволяет констатир</w:t>
      </w:r>
      <w:r w:rsidRPr="00EE4AEA">
        <w:t>о</w:t>
      </w:r>
      <w:r w:rsidRPr="00EE4AEA">
        <w:t>вать наличие утомляемости, что подтверждается данными, полученными по методикам, изуч</w:t>
      </w:r>
      <w:r w:rsidRPr="00EE4AEA">
        <w:t>а</w:t>
      </w:r>
      <w:r w:rsidRPr="00EE4AEA">
        <w:t xml:space="preserve">ющие внимание. </w:t>
      </w:r>
    </w:p>
    <w:p w14:paraId="4FBD0360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Уровень развития мышления соответствует среднему уровню возрастного развития. О</w:t>
      </w:r>
      <w:r w:rsidRPr="00EE4AEA">
        <w:t>д</w:t>
      </w:r>
      <w:r w:rsidRPr="00EE4AEA">
        <w:t>нако, по итогам диагностики удалось установить, что способности к обобщению, сравнению и классифицированию находятся на высоком уровне: при исключении лишнего дети правильно ответили практически на все вопросы, обобщение проводилось преимущественно по родовому, реже – функциональному признаку. Развитие синтеза и анализа находится на среднем уровне возрастного развития.</w:t>
      </w:r>
    </w:p>
    <w:p w14:paraId="21375896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По результатам наблюдения и экспертных оценок установлено, что развитие импульси</w:t>
      </w:r>
      <w:r w:rsidRPr="00EE4AEA">
        <w:t>в</w:t>
      </w:r>
      <w:r w:rsidRPr="00EE4AEA">
        <w:t>ности находится на среднем уровне, соответствую клинико-психологической картине СДВГ.</w:t>
      </w:r>
    </w:p>
    <w:p w14:paraId="634E3CBF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Развитие внимания пятиклассников обеих изучаемых групп находится на среднем уровне возрастного развития. Обучающиеся неплохо справились с корректурной пробы, дост</w:t>
      </w:r>
      <w:r w:rsidRPr="00EE4AEA">
        <w:t>а</w:t>
      </w:r>
      <w:r w:rsidRPr="00EE4AEA">
        <w:t xml:space="preserve">точно быстро выполняли задания по таблицам </w:t>
      </w:r>
      <w:proofErr w:type="spellStart"/>
      <w:r w:rsidRPr="00EE4AEA">
        <w:t>Шульте</w:t>
      </w:r>
      <w:proofErr w:type="spellEnd"/>
      <w:r w:rsidRPr="00EE4AEA">
        <w:t>. В отличие от первоклассников, у пят</w:t>
      </w:r>
      <w:r w:rsidRPr="00EE4AEA">
        <w:t>и</w:t>
      </w:r>
      <w:r w:rsidRPr="00EE4AEA">
        <w:t>классников врабатываемость соответствует среднему уровню – им не требуется длительного времени для вхождения в работу. Однако, показатели утомляемости и истощаемости находятся на высоком уровне, что позволяет сделать вывод о наличии трудностей с устойчивостью и ко</w:t>
      </w:r>
      <w:r w:rsidRPr="00EE4AEA">
        <w:t>н</w:t>
      </w:r>
      <w:r w:rsidRPr="00EE4AEA">
        <w:t>центрацией внимания. Эти данные подтверждают и результаты, полученные при анализе «кр</w:t>
      </w:r>
      <w:r w:rsidRPr="00EE4AEA">
        <w:t>и</w:t>
      </w:r>
      <w:r w:rsidRPr="00EE4AEA">
        <w:t xml:space="preserve">вой запоминания». Уровень развития памяти пятиклассников как зрительной, так и </w:t>
      </w:r>
      <w:proofErr w:type="spellStart"/>
      <w:r w:rsidRPr="00EE4AEA">
        <w:t>слухо</w:t>
      </w:r>
      <w:proofErr w:type="spellEnd"/>
      <w:r w:rsidRPr="00EE4AEA">
        <w:t xml:space="preserve">-речевой соответствует средним значениям. </w:t>
      </w:r>
    </w:p>
    <w:p w14:paraId="4B7D4573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Развитие мышления пятиклассников находится на высоком уровне возрастного развития.</w:t>
      </w:r>
    </w:p>
    <w:p w14:paraId="1FDE335B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 xml:space="preserve"> По результатам наблюдения и экспертных оценок установлено, что развитие импул</w:t>
      </w:r>
      <w:r w:rsidRPr="00EE4AEA">
        <w:t>ь</w:t>
      </w:r>
      <w:r w:rsidRPr="00EE4AEA">
        <w:t xml:space="preserve">сивности, тревожности и агрессивности находятся на среднем уровне. Повышение показателей тревожности и агрессивности у пятиклассников по сравнению с первоклассниками объяснимо с позиции подростковое возраста и является нормативным. </w:t>
      </w:r>
    </w:p>
    <w:p w14:paraId="2A64F716" w14:textId="77777777" w:rsidR="00FF3625" w:rsidRPr="00EE4AEA" w:rsidRDefault="00FF3625" w:rsidP="00FF3625">
      <w:pPr>
        <w:spacing w:line="360" w:lineRule="auto"/>
        <w:ind w:firstLine="708"/>
        <w:jc w:val="both"/>
      </w:pPr>
      <w:r w:rsidRPr="00EE4AEA">
        <w:t>Полученные психодиагностические данные свидетельствуют о диспропорциональности развития психической сферы детей с СДВГ с наиболее выраженными нарушениями в процессах внимания с тенденцией к возрастной стабилизации. Это указывает на необходимость учёта при разработке методик работы с детьми с СДВГ не столько содержательных, сколько организац</w:t>
      </w:r>
      <w:r w:rsidRPr="00EE4AEA">
        <w:t>и</w:t>
      </w:r>
      <w:r w:rsidRPr="00EE4AEA">
        <w:t>онных решений, а также психолого-педагогических условий образовательного процесса.</w:t>
      </w:r>
    </w:p>
    <w:p w14:paraId="7E67D656" w14:textId="77777777" w:rsidR="00FF3625" w:rsidRPr="00EE4AEA" w:rsidRDefault="00FF3625" w:rsidP="00FF3625">
      <w:pPr>
        <w:spacing w:line="360" w:lineRule="auto"/>
        <w:jc w:val="both"/>
      </w:pPr>
    </w:p>
    <w:p w14:paraId="7096AF27" w14:textId="77777777" w:rsidR="00FF3625" w:rsidRPr="00EE4AEA" w:rsidRDefault="00FF3625" w:rsidP="00FF3625">
      <w:pPr>
        <w:rPr>
          <w:b/>
        </w:rPr>
      </w:pPr>
      <w:r w:rsidRPr="00EE4AEA">
        <w:rPr>
          <w:b/>
        </w:rPr>
        <w:t xml:space="preserve">Результаты базовой (2018 год) и динамической (2019 год) психодиагностики по </w:t>
      </w:r>
      <w:proofErr w:type="spellStart"/>
      <w:r w:rsidRPr="00EE4AEA">
        <w:rPr>
          <w:b/>
        </w:rPr>
        <w:t>монитор</w:t>
      </w:r>
      <w:r w:rsidRPr="00EE4AEA">
        <w:rPr>
          <w:b/>
        </w:rPr>
        <w:t>и</w:t>
      </w:r>
      <w:r w:rsidRPr="00EE4AEA">
        <w:rPr>
          <w:b/>
        </w:rPr>
        <w:t>руемым</w:t>
      </w:r>
      <w:proofErr w:type="spellEnd"/>
      <w:r w:rsidRPr="00EE4AEA">
        <w:rPr>
          <w:b/>
        </w:rPr>
        <w:t xml:space="preserve"> параметрам обучающихся с СДВГ 5 классов (2017/2018 учебный год) и 6 классов (2018/2019 учебный год)</w:t>
      </w:r>
    </w:p>
    <w:p w14:paraId="5FCA6C91" w14:textId="77777777" w:rsidR="00FF3625" w:rsidRPr="00EE4AEA" w:rsidRDefault="00FF3625" w:rsidP="00FF3625">
      <w:pPr>
        <w:rPr>
          <w:b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704"/>
        <w:gridCol w:w="1681"/>
        <w:gridCol w:w="1518"/>
        <w:gridCol w:w="1681"/>
      </w:tblGrid>
      <w:tr w:rsidR="00FF3625" w:rsidRPr="00EE4AEA" w14:paraId="3688B61B" w14:textId="77777777" w:rsidTr="00762223">
        <w:tc>
          <w:tcPr>
            <w:tcW w:w="2886" w:type="dxa"/>
            <w:vMerge w:val="restart"/>
            <w:shd w:val="clear" w:color="auto" w:fill="auto"/>
          </w:tcPr>
          <w:p w14:paraId="73B3EB30" w14:textId="77777777" w:rsidR="00FF3625" w:rsidRPr="00EE4AEA" w:rsidRDefault="00FF3625" w:rsidP="00762223">
            <w:r w:rsidRPr="00EE4AEA">
              <w:t>Методики</w:t>
            </w:r>
          </w:p>
        </w:tc>
        <w:tc>
          <w:tcPr>
            <w:tcW w:w="3304" w:type="dxa"/>
            <w:gridSpan w:val="2"/>
            <w:shd w:val="clear" w:color="auto" w:fill="auto"/>
          </w:tcPr>
          <w:p w14:paraId="58527B95" w14:textId="77777777" w:rsidR="00FF3625" w:rsidRPr="00EE4AEA" w:rsidRDefault="00FF3625" w:rsidP="00762223">
            <w:r w:rsidRPr="00EE4AEA">
              <w:t>Школа 5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6F5BF9BD" w14:textId="77777777" w:rsidR="00FF3625" w:rsidRPr="00EE4AEA" w:rsidRDefault="00FF3625" w:rsidP="00762223">
            <w:r w:rsidRPr="00EE4AEA">
              <w:t>Школа-интернат 49</w:t>
            </w:r>
          </w:p>
        </w:tc>
      </w:tr>
      <w:tr w:rsidR="00FF3625" w:rsidRPr="00EE4AEA" w14:paraId="7D75E56A" w14:textId="77777777" w:rsidTr="00762223">
        <w:tc>
          <w:tcPr>
            <w:tcW w:w="2886" w:type="dxa"/>
            <w:vMerge/>
            <w:shd w:val="clear" w:color="auto" w:fill="auto"/>
          </w:tcPr>
          <w:p w14:paraId="35BEF9C2" w14:textId="77777777" w:rsidR="00FF3625" w:rsidRPr="00EE4AEA" w:rsidRDefault="00FF3625" w:rsidP="00762223"/>
        </w:tc>
        <w:tc>
          <w:tcPr>
            <w:tcW w:w="1781" w:type="dxa"/>
            <w:shd w:val="clear" w:color="auto" w:fill="auto"/>
          </w:tcPr>
          <w:p w14:paraId="7A805A0B" w14:textId="77777777" w:rsidR="00FF3625" w:rsidRPr="00EE4AEA" w:rsidRDefault="00FF3625" w:rsidP="00762223">
            <w:r w:rsidRPr="00EE4AEA">
              <w:t xml:space="preserve">Результаты первичной диагностики </w:t>
            </w:r>
          </w:p>
          <w:p w14:paraId="290B5EA5" w14:textId="77777777" w:rsidR="00FF3625" w:rsidRPr="00EE4AEA" w:rsidRDefault="00FF3625" w:rsidP="00762223">
            <w:r w:rsidRPr="00EE4AEA">
              <w:t xml:space="preserve">(5 классы, </w:t>
            </w:r>
            <w:r w:rsidRPr="00EE4AEA">
              <w:rPr>
                <w:lang w:val="en-US"/>
              </w:rPr>
              <w:t>n</w:t>
            </w:r>
            <w:r w:rsidRPr="00EE4AEA">
              <w:t>=29)</w:t>
            </w:r>
          </w:p>
        </w:tc>
        <w:tc>
          <w:tcPr>
            <w:tcW w:w="1523" w:type="dxa"/>
            <w:shd w:val="clear" w:color="auto" w:fill="auto"/>
          </w:tcPr>
          <w:p w14:paraId="343AA327" w14:textId="77777777" w:rsidR="00FF3625" w:rsidRPr="00EE4AEA" w:rsidRDefault="00FF3625" w:rsidP="00762223">
            <w:r w:rsidRPr="00EE4AEA">
              <w:t xml:space="preserve">Результаты динамической диагностики (6 классы, </w:t>
            </w:r>
            <w:r w:rsidRPr="00EE4AEA">
              <w:rPr>
                <w:lang w:val="en-US"/>
              </w:rPr>
              <w:t>n</w:t>
            </w:r>
            <w:r w:rsidRPr="00EE4AEA">
              <w:t>=30)</w:t>
            </w:r>
          </w:p>
        </w:tc>
        <w:tc>
          <w:tcPr>
            <w:tcW w:w="1523" w:type="dxa"/>
            <w:shd w:val="clear" w:color="auto" w:fill="auto"/>
          </w:tcPr>
          <w:p w14:paraId="4891E662" w14:textId="77777777" w:rsidR="00FF3625" w:rsidRPr="00EE4AEA" w:rsidRDefault="00FF3625" w:rsidP="00762223">
            <w:r w:rsidRPr="00EE4AEA">
              <w:t>Результаты первичной диагностики</w:t>
            </w:r>
          </w:p>
          <w:p w14:paraId="204027ED" w14:textId="77777777" w:rsidR="00FF3625" w:rsidRPr="00EE4AEA" w:rsidRDefault="00FF3625" w:rsidP="00762223">
            <w:r w:rsidRPr="00EE4AEA">
              <w:t xml:space="preserve">(5 классы, </w:t>
            </w:r>
            <w:r w:rsidRPr="00EE4AEA">
              <w:rPr>
                <w:lang w:val="en-US"/>
              </w:rPr>
              <w:t>n</w:t>
            </w:r>
            <w:r w:rsidRPr="00EE4AEA">
              <w:t>=20)</w:t>
            </w:r>
          </w:p>
        </w:tc>
        <w:tc>
          <w:tcPr>
            <w:tcW w:w="1523" w:type="dxa"/>
            <w:shd w:val="clear" w:color="auto" w:fill="auto"/>
          </w:tcPr>
          <w:p w14:paraId="58487F45" w14:textId="77777777" w:rsidR="00FF3625" w:rsidRPr="00EE4AEA" w:rsidRDefault="00FF3625" w:rsidP="00762223">
            <w:r w:rsidRPr="00EE4AEA">
              <w:t>Результаты динамической диагностики</w:t>
            </w:r>
          </w:p>
          <w:p w14:paraId="7047618A" w14:textId="77777777" w:rsidR="00FF3625" w:rsidRPr="00EE4AEA" w:rsidRDefault="00FF3625" w:rsidP="00762223">
            <w:r w:rsidRPr="00EE4AEA">
              <w:t xml:space="preserve">(6 классы, </w:t>
            </w:r>
            <w:r w:rsidRPr="00EE4AEA">
              <w:rPr>
                <w:lang w:val="en-US"/>
              </w:rPr>
              <w:t>n</w:t>
            </w:r>
            <w:r w:rsidRPr="00EE4AEA">
              <w:t>=16)</w:t>
            </w:r>
          </w:p>
        </w:tc>
      </w:tr>
      <w:tr w:rsidR="00FF3625" w:rsidRPr="00EE4AEA" w14:paraId="12746ED0" w14:textId="77777777" w:rsidTr="00762223">
        <w:tc>
          <w:tcPr>
            <w:tcW w:w="2886" w:type="dxa"/>
            <w:shd w:val="clear" w:color="auto" w:fill="auto"/>
          </w:tcPr>
          <w:p w14:paraId="2EEEFE22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 xml:space="preserve"> (1 </w:t>
            </w:r>
            <w:proofErr w:type="spellStart"/>
            <w:r w:rsidRPr="00EE4AEA">
              <w:t>субтест</w:t>
            </w:r>
            <w:proofErr w:type="spellEnd"/>
            <w:r w:rsidRPr="00EE4AEA"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198241D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61,5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AE2421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51,5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7ACFDA7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37,9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28BA638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50</w:t>
            </w:r>
          </w:p>
        </w:tc>
      </w:tr>
      <w:tr w:rsidR="00FF3625" w:rsidRPr="00EE4AEA" w14:paraId="7BC28C3B" w14:textId="77777777" w:rsidTr="00762223">
        <w:tc>
          <w:tcPr>
            <w:tcW w:w="2886" w:type="dxa"/>
            <w:shd w:val="clear" w:color="auto" w:fill="auto"/>
          </w:tcPr>
          <w:p w14:paraId="17CBEB72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 xml:space="preserve"> (2 </w:t>
            </w:r>
            <w:proofErr w:type="spellStart"/>
            <w:r w:rsidRPr="00EE4AEA">
              <w:t>субтест</w:t>
            </w:r>
            <w:proofErr w:type="spellEnd"/>
            <w:r w:rsidRPr="00EE4AEA"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5142BA4" w14:textId="77777777" w:rsidR="00FF3625" w:rsidRPr="00EE4AEA" w:rsidRDefault="00FF3625" w:rsidP="00762223">
            <w:pPr>
              <w:jc w:val="center"/>
            </w:pPr>
            <w:r w:rsidRPr="00EE4AEA">
              <w:t>61,9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1DAE108" w14:textId="77777777" w:rsidR="00FF3625" w:rsidRPr="00EE4AEA" w:rsidRDefault="00FF3625" w:rsidP="00762223">
            <w:pPr>
              <w:jc w:val="center"/>
            </w:pPr>
            <w:r w:rsidRPr="00EE4AEA">
              <w:t>60,7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4F7E16B" w14:textId="77777777" w:rsidR="00FF3625" w:rsidRPr="00EE4AEA" w:rsidRDefault="00FF3625" w:rsidP="00762223">
            <w:pPr>
              <w:jc w:val="center"/>
            </w:pPr>
            <w:r w:rsidRPr="00EE4AEA">
              <w:t>42,3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8FCD44" w14:textId="77777777" w:rsidR="00FF3625" w:rsidRPr="00EE4AEA" w:rsidRDefault="00FF3625" w:rsidP="00762223">
            <w:pPr>
              <w:jc w:val="center"/>
            </w:pPr>
            <w:r w:rsidRPr="00EE4AEA">
              <w:t>50,4</w:t>
            </w:r>
          </w:p>
        </w:tc>
      </w:tr>
      <w:tr w:rsidR="00FF3625" w:rsidRPr="00EE4AEA" w14:paraId="2C254B92" w14:textId="77777777" w:rsidTr="00762223">
        <w:tc>
          <w:tcPr>
            <w:tcW w:w="2886" w:type="dxa"/>
            <w:shd w:val="clear" w:color="auto" w:fill="auto"/>
          </w:tcPr>
          <w:p w14:paraId="718AAE2A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 xml:space="preserve"> (3 </w:t>
            </w:r>
            <w:proofErr w:type="spellStart"/>
            <w:r w:rsidRPr="00EE4AEA">
              <w:t>субтест</w:t>
            </w:r>
            <w:proofErr w:type="spellEnd"/>
            <w:r w:rsidRPr="00EE4AEA"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0486F7A" w14:textId="77777777" w:rsidR="00FF3625" w:rsidRPr="00EE4AEA" w:rsidRDefault="00FF3625" w:rsidP="00762223">
            <w:pPr>
              <w:jc w:val="center"/>
            </w:pPr>
            <w:r w:rsidRPr="00EE4AEA">
              <w:t>62,9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5E97CA7" w14:textId="77777777" w:rsidR="00FF3625" w:rsidRPr="00EE4AEA" w:rsidRDefault="00FF3625" w:rsidP="00762223">
            <w:pPr>
              <w:jc w:val="center"/>
            </w:pPr>
            <w:r w:rsidRPr="00EE4AEA">
              <w:t>59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95FEAB6" w14:textId="77777777" w:rsidR="00FF3625" w:rsidRPr="00EE4AEA" w:rsidRDefault="00FF3625" w:rsidP="00762223">
            <w:pPr>
              <w:jc w:val="center"/>
            </w:pPr>
            <w:r w:rsidRPr="00EE4AEA">
              <w:t>43,5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FBC0C01" w14:textId="77777777" w:rsidR="00FF3625" w:rsidRPr="00EE4AEA" w:rsidRDefault="00FF3625" w:rsidP="00762223">
            <w:pPr>
              <w:jc w:val="center"/>
            </w:pPr>
            <w:r w:rsidRPr="00EE4AEA">
              <w:t>49,5</w:t>
            </w:r>
          </w:p>
        </w:tc>
      </w:tr>
      <w:tr w:rsidR="00FF3625" w:rsidRPr="00EE4AEA" w14:paraId="716B86FA" w14:textId="77777777" w:rsidTr="00762223">
        <w:tc>
          <w:tcPr>
            <w:tcW w:w="2886" w:type="dxa"/>
            <w:shd w:val="clear" w:color="auto" w:fill="auto"/>
          </w:tcPr>
          <w:p w14:paraId="2DD0E546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 xml:space="preserve"> (4 </w:t>
            </w:r>
            <w:proofErr w:type="spellStart"/>
            <w:r w:rsidRPr="00EE4AEA">
              <w:t>субтест</w:t>
            </w:r>
            <w:proofErr w:type="spellEnd"/>
            <w:r w:rsidRPr="00EE4AEA"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1F881FA" w14:textId="77777777" w:rsidR="00FF3625" w:rsidRPr="00EE4AEA" w:rsidRDefault="00FF3625" w:rsidP="00762223">
            <w:pPr>
              <w:jc w:val="center"/>
            </w:pPr>
            <w:r w:rsidRPr="00EE4AEA">
              <w:t>66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59F1B99" w14:textId="77777777" w:rsidR="00FF3625" w:rsidRPr="00EE4AEA" w:rsidRDefault="00FF3625" w:rsidP="00762223">
            <w:pPr>
              <w:jc w:val="center"/>
            </w:pPr>
            <w:r w:rsidRPr="00EE4AEA">
              <w:t>64,5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3F2BD3B" w14:textId="77777777" w:rsidR="00FF3625" w:rsidRPr="00EE4AEA" w:rsidRDefault="00FF3625" w:rsidP="00762223">
            <w:pPr>
              <w:jc w:val="center"/>
            </w:pPr>
            <w:r w:rsidRPr="00EE4AEA">
              <w:t>45,2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2527BFE" w14:textId="77777777" w:rsidR="00FF3625" w:rsidRPr="00EE4AEA" w:rsidRDefault="00FF3625" w:rsidP="00762223">
            <w:pPr>
              <w:jc w:val="center"/>
            </w:pPr>
            <w:r w:rsidRPr="00EE4AEA">
              <w:t>51,7</w:t>
            </w:r>
          </w:p>
        </w:tc>
      </w:tr>
      <w:tr w:rsidR="00FF3625" w:rsidRPr="00EE4AEA" w14:paraId="7A2FE6B2" w14:textId="77777777" w:rsidTr="00762223">
        <w:tc>
          <w:tcPr>
            <w:tcW w:w="2886" w:type="dxa"/>
            <w:shd w:val="clear" w:color="auto" w:fill="auto"/>
          </w:tcPr>
          <w:p w14:paraId="45261E81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 xml:space="preserve"> (5 </w:t>
            </w:r>
            <w:proofErr w:type="spellStart"/>
            <w:r w:rsidRPr="00EE4AEA">
              <w:t>субтест</w:t>
            </w:r>
            <w:proofErr w:type="spellEnd"/>
            <w:r w:rsidRPr="00EE4AEA"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26D141A" w14:textId="77777777" w:rsidR="00FF3625" w:rsidRPr="00EE4AEA" w:rsidRDefault="00FF3625" w:rsidP="00762223">
            <w:pPr>
              <w:jc w:val="center"/>
            </w:pPr>
            <w:r w:rsidRPr="00EE4AEA">
              <w:t>63,9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A9101A" w14:textId="77777777" w:rsidR="00FF3625" w:rsidRPr="00EE4AEA" w:rsidRDefault="00FF3625" w:rsidP="00762223">
            <w:pPr>
              <w:jc w:val="center"/>
            </w:pPr>
            <w:r w:rsidRPr="00EE4AEA">
              <w:t>62,1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9DB6314" w14:textId="77777777" w:rsidR="00FF3625" w:rsidRPr="00EE4AEA" w:rsidRDefault="00FF3625" w:rsidP="00762223">
            <w:pPr>
              <w:jc w:val="center"/>
            </w:pPr>
            <w:r w:rsidRPr="00EE4AEA">
              <w:t>41,5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074C17E" w14:textId="77777777" w:rsidR="00FF3625" w:rsidRPr="00EE4AEA" w:rsidRDefault="00FF3625" w:rsidP="00762223">
            <w:pPr>
              <w:jc w:val="center"/>
            </w:pPr>
            <w:r w:rsidRPr="00EE4AEA">
              <w:t>48,8</w:t>
            </w:r>
          </w:p>
        </w:tc>
      </w:tr>
      <w:tr w:rsidR="00FF3625" w:rsidRPr="00EE4AEA" w14:paraId="10916B4D" w14:textId="77777777" w:rsidTr="00762223">
        <w:tc>
          <w:tcPr>
            <w:tcW w:w="2886" w:type="dxa"/>
            <w:shd w:val="clear" w:color="auto" w:fill="auto"/>
          </w:tcPr>
          <w:p w14:paraId="1AB23865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>: вр</w:t>
            </w:r>
            <w:r w:rsidRPr="00EE4AEA">
              <w:t>а</w:t>
            </w:r>
            <w:r w:rsidRPr="00EE4AEA">
              <w:t>батываемость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22A4CBD" w14:textId="77777777" w:rsidR="00FF3625" w:rsidRPr="00EE4AEA" w:rsidRDefault="00FF3625" w:rsidP="00762223">
            <w:pPr>
              <w:jc w:val="center"/>
            </w:pPr>
            <w:r w:rsidRPr="00EE4AEA">
              <w:t>-0,5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BCEC487" w14:textId="77777777" w:rsidR="00FF3625" w:rsidRPr="00EE4AEA" w:rsidRDefault="00FF3625" w:rsidP="00762223">
            <w:pPr>
              <w:jc w:val="center"/>
            </w:pPr>
            <w:r w:rsidRPr="00EE4AEA">
              <w:t>-9,2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6564F06" w14:textId="77777777" w:rsidR="00FF3625" w:rsidRPr="00EE4AEA" w:rsidRDefault="00FF3625" w:rsidP="00762223">
            <w:pPr>
              <w:jc w:val="center"/>
            </w:pPr>
            <w:r w:rsidRPr="00EE4AEA">
              <w:t>-4,4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8228D3E" w14:textId="77777777" w:rsidR="00FF3625" w:rsidRPr="00EE4AEA" w:rsidRDefault="00FF3625" w:rsidP="00762223">
            <w:pPr>
              <w:jc w:val="center"/>
            </w:pPr>
            <w:r w:rsidRPr="00EE4AEA">
              <w:t>-0,4</w:t>
            </w:r>
          </w:p>
        </w:tc>
      </w:tr>
      <w:tr w:rsidR="00FF3625" w:rsidRPr="00EE4AEA" w14:paraId="704832ED" w14:textId="77777777" w:rsidTr="00762223">
        <w:tc>
          <w:tcPr>
            <w:tcW w:w="2886" w:type="dxa"/>
            <w:shd w:val="clear" w:color="auto" w:fill="auto"/>
          </w:tcPr>
          <w:p w14:paraId="35CE3267" w14:textId="77777777" w:rsidR="00FF3625" w:rsidRPr="00EE4AEA" w:rsidRDefault="00FF3625" w:rsidP="00762223">
            <w:r w:rsidRPr="00EE4AEA">
              <w:t xml:space="preserve">Таблицы </w:t>
            </w:r>
            <w:proofErr w:type="spellStart"/>
            <w:r w:rsidRPr="00EE4AEA">
              <w:t>Шульте</w:t>
            </w:r>
            <w:proofErr w:type="spellEnd"/>
            <w:r w:rsidRPr="00EE4AEA">
              <w:t>: и</w:t>
            </w:r>
            <w:r w:rsidRPr="00EE4AEA">
              <w:t>с</w:t>
            </w:r>
            <w:r w:rsidRPr="00EE4AEA">
              <w:t>тощаемость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270738F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2,5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F0DFC21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10,6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68E6D43" w14:textId="77777777" w:rsidR="00FF3625" w:rsidRPr="00EE4AEA" w:rsidRDefault="00FF3625" w:rsidP="00762223">
            <w:pPr>
              <w:jc w:val="center"/>
            </w:pPr>
            <w:r w:rsidRPr="00EE4AEA">
              <w:t>3,6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1024CC7" w14:textId="77777777" w:rsidR="00FF3625" w:rsidRPr="00EE4AEA" w:rsidRDefault="00FF3625" w:rsidP="00762223">
            <w:pPr>
              <w:jc w:val="center"/>
            </w:pPr>
            <w:r w:rsidRPr="00EE4AEA">
              <w:t>-1,2</w:t>
            </w:r>
          </w:p>
        </w:tc>
      </w:tr>
      <w:tr w:rsidR="00FF3625" w:rsidRPr="00EE4AEA" w14:paraId="4264F301" w14:textId="77777777" w:rsidTr="00762223">
        <w:tc>
          <w:tcPr>
            <w:tcW w:w="2886" w:type="dxa"/>
            <w:shd w:val="clear" w:color="auto" w:fill="auto"/>
          </w:tcPr>
          <w:p w14:paraId="1CD696A0" w14:textId="77777777" w:rsidR="00FF3625" w:rsidRPr="00EE4AEA" w:rsidRDefault="00FF3625" w:rsidP="00762223">
            <w:r w:rsidRPr="00EE4AEA">
              <w:t>Зрительная непрои</w:t>
            </w:r>
            <w:r w:rsidRPr="00EE4AEA">
              <w:t>з</w:t>
            </w:r>
            <w:r w:rsidRPr="00EE4AEA">
              <w:t>вольная память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F5D3A95" w14:textId="77777777" w:rsidR="00FF3625" w:rsidRPr="00EE4AEA" w:rsidRDefault="00FF3625" w:rsidP="00762223">
            <w:pPr>
              <w:jc w:val="center"/>
            </w:pPr>
            <w:r w:rsidRPr="00EE4AEA">
              <w:t>5,8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69D6AC0" w14:textId="77777777" w:rsidR="00FF3625" w:rsidRPr="00EE4AEA" w:rsidRDefault="00FF3625" w:rsidP="00762223">
            <w:pPr>
              <w:jc w:val="center"/>
            </w:pPr>
            <w:r w:rsidRPr="00EE4AEA">
              <w:t>6,3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0153512" w14:textId="77777777" w:rsidR="00FF3625" w:rsidRPr="00EE4AEA" w:rsidRDefault="00FF3625" w:rsidP="00762223">
            <w:pPr>
              <w:jc w:val="center"/>
            </w:pPr>
            <w:r w:rsidRPr="00EE4AEA"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8A1CDE8" w14:textId="77777777" w:rsidR="00FF3625" w:rsidRPr="00EE4AEA" w:rsidRDefault="00FF3625" w:rsidP="00762223">
            <w:pPr>
              <w:jc w:val="center"/>
            </w:pPr>
            <w:r w:rsidRPr="00EE4AEA">
              <w:t>6,8</w:t>
            </w:r>
          </w:p>
        </w:tc>
      </w:tr>
      <w:tr w:rsidR="00FF3625" w:rsidRPr="00EE4AEA" w14:paraId="4484AFD3" w14:textId="77777777" w:rsidTr="00762223">
        <w:tc>
          <w:tcPr>
            <w:tcW w:w="2886" w:type="dxa"/>
            <w:shd w:val="clear" w:color="auto" w:fill="auto"/>
          </w:tcPr>
          <w:p w14:paraId="35CB5045" w14:textId="77777777" w:rsidR="00FF3625" w:rsidRPr="00EE4AEA" w:rsidRDefault="00FF3625" w:rsidP="00762223">
            <w:r w:rsidRPr="00EE4AEA">
              <w:t>Зрительная произвол</w:t>
            </w:r>
            <w:r w:rsidRPr="00EE4AEA">
              <w:t>ь</w:t>
            </w:r>
            <w:r w:rsidRPr="00EE4AEA">
              <w:t>ная память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3D337EA" w14:textId="77777777" w:rsidR="00FF3625" w:rsidRPr="00EE4AEA" w:rsidRDefault="00FF3625" w:rsidP="00762223">
            <w:pPr>
              <w:jc w:val="center"/>
            </w:pPr>
            <w:r w:rsidRPr="00EE4AEA">
              <w:t>6,1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914E578" w14:textId="77777777" w:rsidR="00FF3625" w:rsidRPr="00EE4AEA" w:rsidRDefault="00FF3625" w:rsidP="00762223">
            <w:pPr>
              <w:jc w:val="center"/>
            </w:pPr>
            <w:r w:rsidRPr="00EE4AEA">
              <w:t>5,9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1B42826" w14:textId="77777777" w:rsidR="00FF3625" w:rsidRPr="00EE4AEA" w:rsidRDefault="00FF3625" w:rsidP="00762223">
            <w:pPr>
              <w:jc w:val="center"/>
            </w:pPr>
            <w:r w:rsidRPr="00EE4AEA">
              <w:t>6,7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77527CC" w14:textId="77777777" w:rsidR="00FF3625" w:rsidRPr="00EE4AEA" w:rsidRDefault="00FF3625" w:rsidP="00762223">
            <w:pPr>
              <w:jc w:val="center"/>
            </w:pPr>
            <w:r w:rsidRPr="00EE4AEA">
              <w:t>7,6</w:t>
            </w:r>
          </w:p>
        </w:tc>
      </w:tr>
      <w:tr w:rsidR="00FF3625" w:rsidRPr="00EE4AEA" w14:paraId="46936941" w14:textId="77777777" w:rsidTr="00762223">
        <w:tc>
          <w:tcPr>
            <w:tcW w:w="2886" w:type="dxa"/>
            <w:shd w:val="clear" w:color="auto" w:fill="auto"/>
          </w:tcPr>
          <w:p w14:paraId="315A0F04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(1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6FECC5D" w14:textId="77777777" w:rsidR="00FF3625" w:rsidRPr="00EE4AEA" w:rsidRDefault="00FF3625" w:rsidP="00762223">
            <w:pPr>
              <w:jc w:val="center"/>
            </w:pPr>
            <w:r w:rsidRPr="00EE4AEA">
              <w:t>4,9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7F309AA" w14:textId="77777777" w:rsidR="00FF3625" w:rsidRPr="00EE4AEA" w:rsidRDefault="00FF3625" w:rsidP="00762223">
            <w:pPr>
              <w:jc w:val="center"/>
            </w:pPr>
            <w:r w:rsidRPr="00EE4AEA">
              <w:t>5,1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1C69E98" w14:textId="77777777" w:rsidR="00FF3625" w:rsidRPr="00EE4AEA" w:rsidRDefault="00FF3625" w:rsidP="00762223">
            <w:pPr>
              <w:jc w:val="center"/>
            </w:pPr>
            <w:r w:rsidRPr="00EE4AEA">
              <w:t>6,5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BBEECE8" w14:textId="77777777" w:rsidR="00FF3625" w:rsidRPr="00EE4AEA" w:rsidRDefault="00FF3625" w:rsidP="00762223">
            <w:pPr>
              <w:jc w:val="center"/>
            </w:pPr>
            <w:r w:rsidRPr="00EE4AEA">
              <w:t>6,9</w:t>
            </w:r>
          </w:p>
        </w:tc>
      </w:tr>
      <w:tr w:rsidR="00FF3625" w:rsidRPr="00EE4AEA" w14:paraId="6DEAA479" w14:textId="77777777" w:rsidTr="00762223">
        <w:tc>
          <w:tcPr>
            <w:tcW w:w="2886" w:type="dxa"/>
            <w:shd w:val="clear" w:color="auto" w:fill="auto"/>
          </w:tcPr>
          <w:p w14:paraId="2039CED0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(2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4BFC020" w14:textId="77777777" w:rsidR="00FF3625" w:rsidRPr="00EE4AEA" w:rsidRDefault="00FF3625" w:rsidP="00762223">
            <w:pPr>
              <w:jc w:val="center"/>
            </w:pPr>
            <w:r w:rsidRPr="00EE4AEA">
              <w:t>7,1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B3A7F2B" w14:textId="77777777" w:rsidR="00FF3625" w:rsidRPr="00EE4AEA" w:rsidRDefault="00FF3625" w:rsidP="00762223">
            <w:pPr>
              <w:jc w:val="center"/>
            </w:pPr>
            <w:r w:rsidRPr="00EE4AEA">
              <w:t>7,2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E2D4B8A" w14:textId="77777777" w:rsidR="00FF3625" w:rsidRPr="00EE4AEA" w:rsidRDefault="00FF3625" w:rsidP="00762223">
            <w:pPr>
              <w:jc w:val="center"/>
            </w:pPr>
            <w:r w:rsidRPr="00EE4AEA">
              <w:t>7,1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AB7F2CE" w14:textId="77777777" w:rsidR="00FF3625" w:rsidRPr="00EE4AEA" w:rsidRDefault="00FF3625" w:rsidP="00762223">
            <w:pPr>
              <w:jc w:val="center"/>
            </w:pPr>
            <w:r w:rsidRPr="00EE4AEA">
              <w:t>7,6</w:t>
            </w:r>
          </w:p>
        </w:tc>
      </w:tr>
      <w:tr w:rsidR="00FF3625" w:rsidRPr="00EE4AEA" w14:paraId="5F8B015D" w14:textId="77777777" w:rsidTr="00762223">
        <w:tc>
          <w:tcPr>
            <w:tcW w:w="2886" w:type="dxa"/>
            <w:shd w:val="clear" w:color="auto" w:fill="auto"/>
          </w:tcPr>
          <w:p w14:paraId="5DB4956A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(3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3D4ED3B" w14:textId="77777777" w:rsidR="00FF3625" w:rsidRPr="00EE4AEA" w:rsidRDefault="00FF3625" w:rsidP="00762223">
            <w:pPr>
              <w:jc w:val="center"/>
            </w:pPr>
            <w:r w:rsidRPr="00EE4AEA">
              <w:t>7,9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A9DD596" w14:textId="77777777" w:rsidR="00FF3625" w:rsidRPr="00EE4AEA" w:rsidRDefault="00FF3625" w:rsidP="00762223">
            <w:pPr>
              <w:jc w:val="center"/>
            </w:pPr>
            <w:r w:rsidRPr="00EE4AEA">
              <w:t>8,1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417BDBA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7,6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DD64111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9</w:t>
            </w:r>
          </w:p>
        </w:tc>
      </w:tr>
      <w:tr w:rsidR="00FF3625" w:rsidRPr="00EE4AEA" w14:paraId="23716071" w14:textId="77777777" w:rsidTr="00762223">
        <w:tc>
          <w:tcPr>
            <w:tcW w:w="2886" w:type="dxa"/>
            <w:shd w:val="clear" w:color="auto" w:fill="auto"/>
          </w:tcPr>
          <w:p w14:paraId="72C044F8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(4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522C56B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6,7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1FC864B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9,2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FB8BEB7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7,6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D7959A8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8,8</w:t>
            </w:r>
          </w:p>
        </w:tc>
      </w:tr>
      <w:tr w:rsidR="00FF3625" w:rsidRPr="00EE4AEA" w14:paraId="7F56FA71" w14:textId="77777777" w:rsidTr="00762223">
        <w:tc>
          <w:tcPr>
            <w:tcW w:w="2886" w:type="dxa"/>
            <w:shd w:val="clear" w:color="auto" w:fill="auto"/>
          </w:tcPr>
          <w:p w14:paraId="4F8DA3CB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(5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7D18D4C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4,1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265B54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9,4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8A5A45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8,5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DB5B7BF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9,4</w:t>
            </w:r>
          </w:p>
        </w:tc>
      </w:tr>
      <w:tr w:rsidR="00FF3625" w:rsidRPr="00EE4AEA" w14:paraId="4A3D2619" w14:textId="77777777" w:rsidTr="00762223">
        <w:tc>
          <w:tcPr>
            <w:tcW w:w="2886" w:type="dxa"/>
            <w:shd w:val="clear" w:color="auto" w:fill="auto"/>
          </w:tcPr>
          <w:p w14:paraId="46D2BC02" w14:textId="77777777" w:rsidR="00FF3625" w:rsidRPr="00EE4AEA" w:rsidRDefault="00FF3625" w:rsidP="00762223">
            <w:r w:rsidRPr="00EE4AEA">
              <w:t>Кубики Коса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D83756A" w14:textId="77777777" w:rsidR="00FF3625" w:rsidRPr="00EE4AEA" w:rsidRDefault="00FF3625" w:rsidP="00762223">
            <w:pPr>
              <w:jc w:val="center"/>
            </w:pPr>
            <w:r w:rsidRPr="00EE4AEA">
              <w:t>40,5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73C316F" w14:textId="77777777" w:rsidR="00FF3625" w:rsidRPr="00EE4AEA" w:rsidRDefault="00FF3625" w:rsidP="00762223">
            <w:pPr>
              <w:jc w:val="center"/>
            </w:pPr>
            <w:r w:rsidRPr="00EE4AEA">
              <w:t>36,3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B414591" w14:textId="77777777" w:rsidR="00FF3625" w:rsidRPr="00EE4AEA" w:rsidRDefault="00FF3625" w:rsidP="00762223">
            <w:pPr>
              <w:jc w:val="center"/>
            </w:pPr>
            <w:r w:rsidRPr="00EE4AEA">
              <w:t>35,9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216A823" w14:textId="77777777" w:rsidR="00FF3625" w:rsidRPr="00EE4AEA" w:rsidRDefault="00FF3625" w:rsidP="00762223">
            <w:pPr>
              <w:jc w:val="center"/>
            </w:pPr>
            <w:r w:rsidRPr="00EE4AEA">
              <w:t>36,6</w:t>
            </w:r>
          </w:p>
        </w:tc>
      </w:tr>
      <w:tr w:rsidR="00FF3625" w:rsidRPr="00EE4AEA" w14:paraId="3C07016A" w14:textId="77777777" w:rsidTr="00762223">
        <w:tc>
          <w:tcPr>
            <w:tcW w:w="2886" w:type="dxa"/>
            <w:shd w:val="clear" w:color="auto" w:fill="auto"/>
          </w:tcPr>
          <w:p w14:paraId="26EB6FB1" w14:textId="77777777" w:rsidR="00FF3625" w:rsidRPr="00EE4AEA" w:rsidRDefault="00FF3625" w:rsidP="00762223">
            <w:r w:rsidRPr="00EE4AEA">
              <w:t>Исключение лишнего (вербальный вариант)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1288E47" w14:textId="77777777" w:rsidR="00FF3625" w:rsidRPr="00EE4AEA" w:rsidRDefault="00FF3625" w:rsidP="00762223">
            <w:pPr>
              <w:jc w:val="center"/>
            </w:pPr>
            <w:r w:rsidRPr="00EE4AEA">
              <w:t>2,9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BE6FD60" w14:textId="77777777" w:rsidR="00FF3625" w:rsidRPr="00EE4AEA" w:rsidRDefault="00FF3625" w:rsidP="00762223">
            <w:pPr>
              <w:jc w:val="center"/>
            </w:pPr>
            <w:r w:rsidRPr="00EE4AEA">
              <w:t>3,4</w:t>
            </w:r>
          </w:p>
        </w:tc>
        <w:tc>
          <w:tcPr>
            <w:tcW w:w="1523" w:type="dxa"/>
            <w:shd w:val="clear" w:color="auto" w:fill="auto"/>
          </w:tcPr>
          <w:p w14:paraId="679345EE" w14:textId="77777777" w:rsidR="00FF3625" w:rsidRPr="00EE4AEA" w:rsidRDefault="00FF3625" w:rsidP="00762223">
            <w:pPr>
              <w:jc w:val="center"/>
            </w:pPr>
            <w:r w:rsidRPr="00EE4AEA">
              <w:t>4,3</w:t>
            </w:r>
          </w:p>
        </w:tc>
        <w:tc>
          <w:tcPr>
            <w:tcW w:w="1523" w:type="dxa"/>
            <w:shd w:val="clear" w:color="auto" w:fill="auto"/>
          </w:tcPr>
          <w:p w14:paraId="17EEB79F" w14:textId="77777777" w:rsidR="00FF3625" w:rsidRPr="00EE4AEA" w:rsidRDefault="00FF3625" w:rsidP="00762223">
            <w:pPr>
              <w:jc w:val="center"/>
            </w:pPr>
            <w:r w:rsidRPr="00EE4AEA">
              <w:t>4,5</w:t>
            </w:r>
          </w:p>
        </w:tc>
      </w:tr>
      <w:tr w:rsidR="00FF3625" w:rsidRPr="00EE4AEA" w14:paraId="3CB92EE9" w14:textId="77777777" w:rsidTr="00762223">
        <w:tc>
          <w:tcPr>
            <w:tcW w:w="2886" w:type="dxa"/>
            <w:shd w:val="clear" w:color="auto" w:fill="auto"/>
          </w:tcPr>
          <w:p w14:paraId="73CE1140" w14:textId="77777777" w:rsidR="00FF3625" w:rsidRPr="00EE4AEA" w:rsidRDefault="00FF3625" w:rsidP="00762223">
            <w:r w:rsidRPr="00EE4AEA">
              <w:t>Исключение лишнего (невербальный вар</w:t>
            </w:r>
            <w:r w:rsidRPr="00EE4AEA">
              <w:t>и</w:t>
            </w:r>
            <w:r w:rsidRPr="00EE4AEA">
              <w:t>ант)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378CAF9" w14:textId="77777777" w:rsidR="00FF3625" w:rsidRPr="00EE4AEA" w:rsidRDefault="00FF3625" w:rsidP="00762223">
            <w:pPr>
              <w:jc w:val="center"/>
            </w:pPr>
            <w:r w:rsidRPr="00EE4AEA">
              <w:t>7,6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C0F7CB7" w14:textId="77777777" w:rsidR="00FF3625" w:rsidRPr="00EE4AEA" w:rsidRDefault="00FF3625" w:rsidP="00762223">
            <w:pPr>
              <w:jc w:val="center"/>
            </w:pPr>
            <w:r w:rsidRPr="00EE4AEA">
              <w:t>7,7</w:t>
            </w:r>
          </w:p>
        </w:tc>
        <w:tc>
          <w:tcPr>
            <w:tcW w:w="1523" w:type="dxa"/>
            <w:shd w:val="clear" w:color="auto" w:fill="auto"/>
          </w:tcPr>
          <w:p w14:paraId="49302C2E" w14:textId="77777777" w:rsidR="00FF3625" w:rsidRPr="00EE4AEA" w:rsidRDefault="00FF3625" w:rsidP="00762223">
            <w:pPr>
              <w:jc w:val="center"/>
            </w:pPr>
            <w:r w:rsidRPr="00EE4AEA">
              <w:t>8</w:t>
            </w:r>
          </w:p>
        </w:tc>
        <w:tc>
          <w:tcPr>
            <w:tcW w:w="1523" w:type="dxa"/>
            <w:shd w:val="clear" w:color="auto" w:fill="auto"/>
          </w:tcPr>
          <w:p w14:paraId="581BC749" w14:textId="77777777" w:rsidR="00FF3625" w:rsidRPr="00EE4AEA" w:rsidRDefault="00FF3625" w:rsidP="00762223">
            <w:pPr>
              <w:jc w:val="center"/>
            </w:pPr>
            <w:r w:rsidRPr="00EE4AEA">
              <w:t>8</w:t>
            </w:r>
          </w:p>
        </w:tc>
      </w:tr>
      <w:tr w:rsidR="00FF3625" w:rsidRPr="00EE4AEA" w14:paraId="56B0D2F9" w14:textId="77777777" w:rsidTr="00762223">
        <w:tc>
          <w:tcPr>
            <w:tcW w:w="2886" w:type="dxa"/>
            <w:shd w:val="clear" w:color="auto" w:fill="auto"/>
            <w:vAlign w:val="center"/>
          </w:tcPr>
          <w:p w14:paraId="27496FFF" w14:textId="77777777" w:rsidR="00FF3625" w:rsidRPr="00EE4AEA" w:rsidRDefault="00FF3625" w:rsidP="00762223">
            <w:r w:rsidRPr="00EE4AEA">
              <w:t>Агрессивность (по оценке родителей)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75A4AD3" w14:textId="77777777" w:rsidR="00FF3625" w:rsidRPr="00EE4AEA" w:rsidRDefault="00FF3625" w:rsidP="00762223">
            <w:pPr>
              <w:jc w:val="center"/>
            </w:pPr>
            <w:r w:rsidRPr="00EE4AEA">
              <w:t>6,1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DF55B8A" w14:textId="77777777" w:rsidR="00FF3625" w:rsidRPr="00EE4AEA" w:rsidRDefault="00FF3625" w:rsidP="00762223">
            <w:pPr>
              <w:jc w:val="center"/>
            </w:pPr>
            <w:r w:rsidRPr="00EE4AEA">
              <w:t>5,9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8C5A3A2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1236A46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</w:tr>
      <w:tr w:rsidR="00FF3625" w:rsidRPr="00EE4AEA" w14:paraId="4DAD22E1" w14:textId="77777777" w:rsidTr="00762223">
        <w:tc>
          <w:tcPr>
            <w:tcW w:w="2886" w:type="dxa"/>
            <w:shd w:val="clear" w:color="auto" w:fill="auto"/>
            <w:vAlign w:val="center"/>
          </w:tcPr>
          <w:p w14:paraId="589A889A" w14:textId="77777777" w:rsidR="00FF3625" w:rsidRPr="00EE4AEA" w:rsidRDefault="00FF3625" w:rsidP="00762223">
            <w:r w:rsidRPr="00EE4AEA">
              <w:t>Тревожность (по оце</w:t>
            </w:r>
            <w:r w:rsidRPr="00EE4AEA">
              <w:t>н</w:t>
            </w:r>
            <w:r w:rsidRPr="00EE4AEA">
              <w:t>ке родителей)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B77563C" w14:textId="77777777" w:rsidR="00FF3625" w:rsidRPr="00EE4AEA" w:rsidRDefault="00FF3625" w:rsidP="00762223">
            <w:pPr>
              <w:jc w:val="center"/>
            </w:pPr>
            <w:r w:rsidRPr="00EE4AEA">
              <w:t>6,5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C3410EA" w14:textId="77777777" w:rsidR="00FF3625" w:rsidRPr="00EE4AEA" w:rsidRDefault="00FF3625" w:rsidP="00762223">
            <w:pPr>
              <w:jc w:val="center"/>
            </w:pPr>
            <w:r w:rsidRPr="00EE4AEA">
              <w:t>5,7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479C809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EFBD1D1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</w:tr>
      <w:tr w:rsidR="00FF3625" w:rsidRPr="00EE4AEA" w14:paraId="6C6B8E0C" w14:textId="77777777" w:rsidTr="00762223">
        <w:tc>
          <w:tcPr>
            <w:tcW w:w="2886" w:type="dxa"/>
            <w:shd w:val="clear" w:color="auto" w:fill="auto"/>
            <w:vAlign w:val="center"/>
          </w:tcPr>
          <w:p w14:paraId="061FF792" w14:textId="77777777" w:rsidR="00FF3625" w:rsidRPr="00EE4AEA" w:rsidRDefault="00FF3625" w:rsidP="00762223">
            <w:r w:rsidRPr="00EE4AEA">
              <w:t>Импульсивность (по оценке родителей)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36949C0" w14:textId="77777777" w:rsidR="00FF3625" w:rsidRPr="00EE4AEA" w:rsidRDefault="00FF3625" w:rsidP="00762223">
            <w:pPr>
              <w:jc w:val="center"/>
            </w:pPr>
            <w:r w:rsidRPr="00EE4AEA">
              <w:t>10,7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93EF695" w14:textId="77777777" w:rsidR="00FF3625" w:rsidRPr="00EE4AEA" w:rsidRDefault="00FF3625" w:rsidP="00762223">
            <w:pPr>
              <w:jc w:val="center"/>
            </w:pPr>
            <w:r w:rsidRPr="00EE4AEA">
              <w:t>10,2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F8695F0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932C991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</w:tr>
      <w:tr w:rsidR="00FF3625" w:rsidRPr="00EE4AEA" w14:paraId="1B2A9614" w14:textId="77777777" w:rsidTr="00762223">
        <w:tc>
          <w:tcPr>
            <w:tcW w:w="2886" w:type="dxa"/>
            <w:shd w:val="clear" w:color="auto" w:fill="auto"/>
            <w:vAlign w:val="center"/>
          </w:tcPr>
          <w:p w14:paraId="75356269" w14:textId="77777777" w:rsidR="00FF3625" w:rsidRPr="00EE4AEA" w:rsidRDefault="00FF3625" w:rsidP="00762223">
            <w:r w:rsidRPr="00EE4AEA">
              <w:t>Агрессивность (по оценке педагога)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C0D4052" w14:textId="77777777" w:rsidR="00FF3625" w:rsidRPr="00EE4AEA" w:rsidRDefault="00FF3625" w:rsidP="00762223">
            <w:pPr>
              <w:jc w:val="center"/>
            </w:pPr>
            <w:r w:rsidRPr="00EE4AEA">
              <w:t>4,9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3694C1A" w14:textId="77777777" w:rsidR="00FF3625" w:rsidRPr="00EE4AEA" w:rsidRDefault="00FF3625" w:rsidP="00762223">
            <w:pPr>
              <w:jc w:val="center"/>
            </w:pPr>
            <w:r w:rsidRPr="00EE4AEA">
              <w:t>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99951C5" w14:textId="77777777" w:rsidR="00FF3625" w:rsidRPr="00EE4AEA" w:rsidRDefault="00FF3625" w:rsidP="00762223">
            <w:pPr>
              <w:jc w:val="center"/>
            </w:pPr>
            <w:r w:rsidRPr="00EE4AEA">
              <w:t>6,4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9E2C19E" w14:textId="77777777" w:rsidR="00FF3625" w:rsidRPr="00EE4AEA" w:rsidRDefault="00FF3625" w:rsidP="00762223">
            <w:pPr>
              <w:jc w:val="center"/>
            </w:pPr>
            <w:r w:rsidRPr="00EE4AEA">
              <w:t>5,6</w:t>
            </w:r>
          </w:p>
        </w:tc>
      </w:tr>
      <w:tr w:rsidR="00FF3625" w:rsidRPr="00EE4AEA" w14:paraId="78170ED8" w14:textId="77777777" w:rsidTr="00762223">
        <w:tc>
          <w:tcPr>
            <w:tcW w:w="2886" w:type="dxa"/>
            <w:shd w:val="clear" w:color="auto" w:fill="auto"/>
            <w:vAlign w:val="center"/>
          </w:tcPr>
          <w:p w14:paraId="4BCC4246" w14:textId="77777777" w:rsidR="00FF3625" w:rsidRPr="00EE4AEA" w:rsidRDefault="00FF3625" w:rsidP="00762223">
            <w:r w:rsidRPr="00EE4AEA">
              <w:t>Тревожность (по оце</w:t>
            </w:r>
            <w:r w:rsidRPr="00EE4AEA">
              <w:t>н</w:t>
            </w:r>
            <w:r w:rsidRPr="00EE4AEA">
              <w:t>ке педагога)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6175C6E" w14:textId="77777777" w:rsidR="00FF3625" w:rsidRPr="00EE4AEA" w:rsidRDefault="00FF3625" w:rsidP="00762223">
            <w:pPr>
              <w:jc w:val="center"/>
            </w:pPr>
            <w:r w:rsidRPr="00EE4AEA">
              <w:t>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941E277" w14:textId="77777777" w:rsidR="00FF3625" w:rsidRPr="00EE4AEA" w:rsidRDefault="00FF3625" w:rsidP="00762223">
            <w:pPr>
              <w:jc w:val="center"/>
            </w:pPr>
            <w:r w:rsidRPr="00EE4AEA">
              <w:t>4,4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F99EED5" w14:textId="77777777" w:rsidR="00FF3625" w:rsidRPr="00EE4AEA" w:rsidRDefault="00FF3625" w:rsidP="00762223">
            <w:pPr>
              <w:jc w:val="center"/>
            </w:pPr>
            <w:r w:rsidRPr="00EE4AEA">
              <w:t>3,1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F6C481A" w14:textId="77777777" w:rsidR="00FF3625" w:rsidRPr="00EE4AEA" w:rsidRDefault="00FF3625" w:rsidP="00762223">
            <w:pPr>
              <w:jc w:val="center"/>
            </w:pPr>
            <w:r w:rsidRPr="00EE4AEA">
              <w:t>2,9</w:t>
            </w:r>
          </w:p>
        </w:tc>
      </w:tr>
      <w:tr w:rsidR="00FF3625" w:rsidRPr="00EE4AEA" w14:paraId="5D482DFC" w14:textId="77777777" w:rsidTr="00762223">
        <w:tc>
          <w:tcPr>
            <w:tcW w:w="2886" w:type="dxa"/>
            <w:shd w:val="clear" w:color="auto" w:fill="auto"/>
            <w:vAlign w:val="center"/>
          </w:tcPr>
          <w:p w14:paraId="27A168FC" w14:textId="77777777" w:rsidR="00FF3625" w:rsidRPr="00EE4AEA" w:rsidRDefault="00FF3625" w:rsidP="00762223">
            <w:r w:rsidRPr="00EE4AEA">
              <w:t>Импульсивность (по оценке педагога)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76455067" w14:textId="77777777" w:rsidR="00FF3625" w:rsidRPr="00EE4AEA" w:rsidRDefault="00FF3625" w:rsidP="00762223">
            <w:pPr>
              <w:jc w:val="center"/>
            </w:pPr>
            <w:r w:rsidRPr="00EE4AEA">
              <w:t>6,9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C2A7CD9" w14:textId="77777777" w:rsidR="00FF3625" w:rsidRPr="00EE4AEA" w:rsidRDefault="00FF3625" w:rsidP="00762223">
            <w:pPr>
              <w:jc w:val="center"/>
            </w:pPr>
            <w:r w:rsidRPr="00EE4AEA">
              <w:t>6,2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5046D5E" w14:textId="77777777" w:rsidR="00FF3625" w:rsidRPr="00EE4AEA" w:rsidRDefault="00FF3625" w:rsidP="00762223">
            <w:pPr>
              <w:jc w:val="center"/>
            </w:pPr>
            <w:r w:rsidRPr="00EE4AEA">
              <w:t>4,9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5E4957F" w14:textId="77777777" w:rsidR="00FF3625" w:rsidRPr="00EE4AEA" w:rsidRDefault="00FF3625" w:rsidP="00762223">
            <w:pPr>
              <w:jc w:val="center"/>
            </w:pPr>
            <w:r w:rsidRPr="00EE4AEA">
              <w:t>7</w:t>
            </w:r>
          </w:p>
        </w:tc>
      </w:tr>
    </w:tbl>
    <w:p w14:paraId="3518F856" w14:textId="77777777" w:rsidR="00FF3625" w:rsidRPr="00EE4AEA" w:rsidRDefault="00FF3625" w:rsidP="00FF3625"/>
    <w:p w14:paraId="19FBC247" w14:textId="77777777" w:rsidR="00FF3625" w:rsidRPr="00EE4AEA" w:rsidRDefault="00FF3625" w:rsidP="00FF3625">
      <w:r w:rsidRPr="00EE4AEA">
        <w:t>Примечание: жирным шрифтом выделены показатели, по которым получены достоверные о</w:t>
      </w:r>
      <w:r w:rsidRPr="00EE4AEA">
        <w:t>т</w:t>
      </w:r>
      <w:r w:rsidRPr="00EE4AEA">
        <w:t>личия при р≤0,05</w:t>
      </w:r>
    </w:p>
    <w:p w14:paraId="6A58D8C2" w14:textId="77777777" w:rsidR="00FF3625" w:rsidRPr="00EE4AEA" w:rsidRDefault="00FF3625" w:rsidP="00FF3625"/>
    <w:p w14:paraId="6D8088CE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>Сопоставительный анализ данных базовой и динамической диагностики позволяет выд</w:t>
      </w:r>
      <w:r w:rsidRPr="00EE4AEA">
        <w:t>е</w:t>
      </w:r>
      <w:r w:rsidRPr="00EE4AEA">
        <w:t>лить ряд существенных изменений в состоянии когнитивных процессов у детей с СДВГ на пр</w:t>
      </w:r>
      <w:r w:rsidRPr="00EE4AEA">
        <w:t>о</w:t>
      </w:r>
      <w:r w:rsidRPr="00EE4AEA">
        <w:t xml:space="preserve">тяжении периода исследования. Согласно данным обследования детей, обучающихся в ГБОУ школе №5 Центрального района, отмечается положительная динамика в развитии внимания, что проявляется в уменьшении времени, затрачиваемого детьми, на выполнение всех </w:t>
      </w:r>
      <w:proofErr w:type="spellStart"/>
      <w:r w:rsidRPr="00EE4AEA">
        <w:t>субтестов</w:t>
      </w:r>
      <w:proofErr w:type="spellEnd"/>
      <w:r w:rsidRPr="00EE4AEA">
        <w:t xml:space="preserve"> методики «Таблицы </w:t>
      </w:r>
      <w:proofErr w:type="spellStart"/>
      <w:r w:rsidRPr="00EE4AEA">
        <w:t>Шульте</w:t>
      </w:r>
      <w:proofErr w:type="spellEnd"/>
      <w:r w:rsidRPr="00EE4AEA">
        <w:t>». Существенно, что максимальные изменения (достоверные при р≤0,05)  зафиксированы для времени выполнения теста по первой таблице, что указывает на п</w:t>
      </w:r>
      <w:r w:rsidRPr="00EE4AEA">
        <w:t>о</w:t>
      </w:r>
      <w:r w:rsidRPr="00EE4AEA">
        <w:t>вышение возможности концентрации внимания. Однако, концентрация внимания на деятельн</w:t>
      </w:r>
      <w:r w:rsidRPr="00EE4AEA">
        <w:t>о</w:t>
      </w:r>
      <w:r w:rsidRPr="00EE4AEA">
        <w:t xml:space="preserve">сти, не вызывающей непосредственного интереса, </w:t>
      </w:r>
      <w:proofErr w:type="spellStart"/>
      <w:r w:rsidRPr="00EE4AEA">
        <w:t>остается</w:t>
      </w:r>
      <w:proofErr w:type="spellEnd"/>
      <w:r w:rsidRPr="00EE4AEA">
        <w:t xml:space="preserve"> непродолжительной, о чем свид</w:t>
      </w:r>
      <w:r w:rsidRPr="00EE4AEA">
        <w:t>е</w:t>
      </w:r>
      <w:r w:rsidRPr="00EE4AEA">
        <w:t>тельствует незначительное уменьшение времени работы с остальными таблицами данной мет</w:t>
      </w:r>
      <w:r w:rsidRPr="00EE4AEA">
        <w:t>о</w:t>
      </w:r>
      <w:r w:rsidRPr="00EE4AEA">
        <w:t>дики. Обращает на себя внимание рост показателя врабатываемости, хотя различия по этому показателю не достигают достоверных значений. Наличие достоверного повышения показателя истощаемости внимания, высчитываемого как разность между временем, затраченным на раб</w:t>
      </w:r>
      <w:r w:rsidRPr="00EE4AEA">
        <w:t>о</w:t>
      </w:r>
      <w:r w:rsidRPr="00EE4AEA">
        <w:t xml:space="preserve">ту с пятой таблицей </w:t>
      </w:r>
      <w:proofErr w:type="spellStart"/>
      <w:r w:rsidRPr="00EE4AEA">
        <w:t>Шульте</w:t>
      </w:r>
      <w:proofErr w:type="spellEnd"/>
      <w:r w:rsidRPr="00EE4AEA">
        <w:t>, и временем, затраченным на работу с первой таблицей, нельзя трактовать как реальное повышение истощаемости. Появление подобного феномена обусловл</w:t>
      </w:r>
      <w:r w:rsidRPr="00EE4AEA">
        <w:t>е</w:t>
      </w:r>
      <w:r w:rsidRPr="00EE4AEA">
        <w:t xml:space="preserve">но выраженным сокращением времени, за которое дети выполняли тестовое задание по первой таблице </w:t>
      </w:r>
      <w:proofErr w:type="spellStart"/>
      <w:r w:rsidRPr="00EE4AEA">
        <w:t>Шульте</w:t>
      </w:r>
      <w:proofErr w:type="spellEnd"/>
      <w:r w:rsidRPr="00EE4AEA">
        <w:t xml:space="preserve">, тогда как время, потраченное на пятую таблицу, существенно не изменилось. </w:t>
      </w:r>
      <w:proofErr w:type="spellStart"/>
      <w:r w:rsidRPr="00EE4AEA">
        <w:t>Еще</w:t>
      </w:r>
      <w:proofErr w:type="spellEnd"/>
      <w:r w:rsidRPr="00EE4AEA">
        <w:t xml:space="preserve"> одним подтверждением снижения истощаемости внимания обучающихся является дост</w:t>
      </w:r>
      <w:r w:rsidRPr="00EE4AEA">
        <w:t>о</w:t>
      </w:r>
      <w:r w:rsidRPr="00EE4AEA">
        <w:t xml:space="preserve">верное возрастание количества слов в 4 и 5 воспроизведении по методике А.Р. </w:t>
      </w:r>
      <w:proofErr w:type="spellStart"/>
      <w:r w:rsidRPr="00EE4AEA">
        <w:t>Лурия</w:t>
      </w:r>
      <w:proofErr w:type="spellEnd"/>
      <w:r w:rsidRPr="00EE4AEA">
        <w:t>. Сущ</w:t>
      </w:r>
      <w:r w:rsidRPr="00EE4AEA">
        <w:t>е</w:t>
      </w:r>
      <w:r w:rsidRPr="00EE4AEA">
        <w:t xml:space="preserve">ственных изменений в показателях </w:t>
      </w:r>
      <w:proofErr w:type="spellStart"/>
      <w:r w:rsidRPr="00EE4AEA">
        <w:t>объема</w:t>
      </w:r>
      <w:proofErr w:type="spellEnd"/>
      <w:r w:rsidRPr="00EE4AEA">
        <w:t xml:space="preserve"> зрительной памяти, а также показателях сформир</w:t>
      </w:r>
      <w:r w:rsidRPr="00EE4AEA">
        <w:t>о</w:t>
      </w:r>
      <w:r w:rsidRPr="00EE4AEA">
        <w:t>ванности мышления не наблюдается. Таким образом, можно предположить, что проводимая коррекционная работа привела к положительным изменениям внимания детей, а именно таких его свойств как концентрация и устойчивость, что обусловило повышение продуктивности з</w:t>
      </w:r>
      <w:r w:rsidRPr="00EE4AEA">
        <w:t>а</w:t>
      </w:r>
      <w:r w:rsidRPr="00EE4AEA">
        <w:t>поминания вербального материала.</w:t>
      </w:r>
    </w:p>
    <w:p w14:paraId="770D2A1D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 xml:space="preserve">У воспитанников школы-интерната №49 отмечается несколько иная динамика развития когнитивной сферы. Сравнительный анализ данных демонстрирует, что дети стали затрачивать больше времени на работу с таблицами </w:t>
      </w:r>
      <w:proofErr w:type="spellStart"/>
      <w:r w:rsidRPr="00EE4AEA">
        <w:t>Шульте</w:t>
      </w:r>
      <w:proofErr w:type="spellEnd"/>
      <w:r w:rsidRPr="00EE4AEA">
        <w:t>, что свидетельствует о снижении эффективн</w:t>
      </w:r>
      <w:r w:rsidRPr="00EE4AEA">
        <w:t>о</w:t>
      </w:r>
      <w:r w:rsidRPr="00EE4AEA">
        <w:t>сти работы. Однако, за подобными данными может скрываться привлечение детьми произвол</w:t>
      </w:r>
      <w:r w:rsidRPr="00EE4AEA">
        <w:t>ь</w:t>
      </w:r>
      <w:r w:rsidRPr="00EE4AEA">
        <w:t>ного контроля деятельности, стремление избежать ошибки (что может быть следствием как адаптации к условиям школьного обучения и направленной коррекционной работы, так и пр</w:t>
      </w:r>
      <w:r w:rsidRPr="00EE4AEA">
        <w:t>е</w:t>
      </w:r>
      <w:r w:rsidRPr="00EE4AEA">
        <w:t xml:space="preserve">обладания в данной выборке детей с </w:t>
      </w:r>
      <w:proofErr w:type="spellStart"/>
      <w:r w:rsidRPr="00EE4AEA">
        <w:t>синдромальными</w:t>
      </w:r>
      <w:proofErr w:type="spellEnd"/>
      <w:r w:rsidRPr="00EE4AEA">
        <w:t xml:space="preserve"> проявлениями дефицита внимания и г</w:t>
      </w:r>
      <w:r w:rsidRPr="00EE4AEA">
        <w:t>и</w:t>
      </w:r>
      <w:r w:rsidRPr="00EE4AEA">
        <w:t>перактивности, определение которых основано на данных психолого-педагогической диагн</w:t>
      </w:r>
      <w:r w:rsidRPr="00EE4AEA">
        <w:t>о</w:t>
      </w:r>
      <w:r w:rsidRPr="00EE4AEA">
        <w:t xml:space="preserve">стики). При этом выявлено повышение показателей </w:t>
      </w:r>
      <w:proofErr w:type="spellStart"/>
      <w:r w:rsidRPr="00EE4AEA">
        <w:t>объема</w:t>
      </w:r>
      <w:proofErr w:type="spellEnd"/>
      <w:r w:rsidRPr="00EE4AEA">
        <w:t xml:space="preserve"> памяти, в частности, уровня дост</w:t>
      </w:r>
      <w:r w:rsidRPr="00EE4AEA">
        <w:t>о</w:t>
      </w:r>
      <w:r w:rsidRPr="00EE4AEA">
        <w:t>верности различия по количеству слов, которые дети смогли воспроизвести при 3-5 предъявл</w:t>
      </w:r>
      <w:r w:rsidRPr="00EE4AEA">
        <w:t>е</w:t>
      </w:r>
      <w:r w:rsidRPr="00EE4AEA">
        <w:t xml:space="preserve">нии (методика </w:t>
      </w:r>
      <w:proofErr w:type="spellStart"/>
      <w:r w:rsidRPr="00EE4AEA">
        <w:t>Лурия</w:t>
      </w:r>
      <w:proofErr w:type="spellEnd"/>
      <w:r w:rsidRPr="00EE4AEA">
        <w:t>), что указывает на повышение устойчивости внимания и снижение его истощаемости. Показатели сформированности невербального и вербального мышления сущ</w:t>
      </w:r>
      <w:r w:rsidRPr="00EE4AEA">
        <w:t>е</w:t>
      </w:r>
      <w:r w:rsidRPr="00EE4AEA">
        <w:t>ственно не изменились.</w:t>
      </w:r>
    </w:p>
    <w:p w14:paraId="4F158E4C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>Показатели проявления агрессии, тревоги и импульсивности по результатам экспертных оценок существенно не изменились.</w:t>
      </w:r>
    </w:p>
    <w:p w14:paraId="0900EBE1" w14:textId="77777777" w:rsidR="00FF3625" w:rsidRPr="00EE4AEA" w:rsidRDefault="00FF3625" w:rsidP="00FF3625">
      <w:pPr>
        <w:spacing w:line="360" w:lineRule="auto"/>
        <w:jc w:val="both"/>
      </w:pPr>
    </w:p>
    <w:p w14:paraId="0365CA4B" w14:textId="77777777" w:rsidR="00FF3625" w:rsidRPr="00EE4AEA" w:rsidRDefault="00FF3625" w:rsidP="00FF3625">
      <w:pPr>
        <w:rPr>
          <w:b/>
        </w:rPr>
      </w:pPr>
      <w:r w:rsidRPr="00EE4AEA">
        <w:rPr>
          <w:b/>
        </w:rPr>
        <w:t xml:space="preserve">Результаты базовой (2018) и динамической (2019) психодиагностики по </w:t>
      </w:r>
      <w:proofErr w:type="spellStart"/>
      <w:r w:rsidRPr="00EE4AEA">
        <w:rPr>
          <w:b/>
        </w:rPr>
        <w:t>мониторируемым</w:t>
      </w:r>
      <w:proofErr w:type="spellEnd"/>
      <w:r w:rsidRPr="00EE4AEA">
        <w:rPr>
          <w:b/>
        </w:rPr>
        <w:t xml:space="preserve"> </w:t>
      </w:r>
      <w:proofErr w:type="spellStart"/>
      <w:r w:rsidRPr="00EE4AEA">
        <w:rPr>
          <w:b/>
        </w:rPr>
        <w:t>парамерам</w:t>
      </w:r>
      <w:proofErr w:type="spellEnd"/>
      <w:r w:rsidRPr="00EE4AEA">
        <w:rPr>
          <w:b/>
        </w:rPr>
        <w:t xml:space="preserve"> обучающихся с СДВГ 1 классов (2017/2018 учебный год) и 2 классов (2018/2019 учебный год) </w:t>
      </w:r>
    </w:p>
    <w:p w14:paraId="730E5185" w14:textId="77777777" w:rsidR="00FF3625" w:rsidRPr="00EE4AEA" w:rsidRDefault="00FF3625" w:rsidP="00FF3625">
      <w:pPr>
        <w:rPr>
          <w:b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1704"/>
        <w:gridCol w:w="1681"/>
        <w:gridCol w:w="1518"/>
        <w:gridCol w:w="1681"/>
      </w:tblGrid>
      <w:tr w:rsidR="00FF3625" w:rsidRPr="00EE4AEA" w14:paraId="506DA49C" w14:textId="77777777" w:rsidTr="00762223">
        <w:tc>
          <w:tcPr>
            <w:tcW w:w="2886" w:type="dxa"/>
            <w:vMerge w:val="restart"/>
            <w:shd w:val="clear" w:color="auto" w:fill="auto"/>
          </w:tcPr>
          <w:p w14:paraId="075A56F4" w14:textId="77777777" w:rsidR="00FF3625" w:rsidRPr="00EE4AEA" w:rsidRDefault="00FF3625" w:rsidP="00762223">
            <w:r w:rsidRPr="00EE4AEA">
              <w:t>Методики</w:t>
            </w:r>
          </w:p>
        </w:tc>
        <w:tc>
          <w:tcPr>
            <w:tcW w:w="3304" w:type="dxa"/>
            <w:gridSpan w:val="2"/>
            <w:shd w:val="clear" w:color="auto" w:fill="auto"/>
          </w:tcPr>
          <w:p w14:paraId="2FC67707" w14:textId="77777777" w:rsidR="00FF3625" w:rsidRPr="00EE4AEA" w:rsidRDefault="00FF3625" w:rsidP="00762223">
            <w:r w:rsidRPr="00EE4AEA">
              <w:t>Школа 5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6BD11DB5" w14:textId="77777777" w:rsidR="00FF3625" w:rsidRPr="00EE4AEA" w:rsidRDefault="00FF3625" w:rsidP="00762223">
            <w:r w:rsidRPr="00EE4AEA">
              <w:t>Школа-интернат 49</w:t>
            </w:r>
          </w:p>
        </w:tc>
      </w:tr>
      <w:tr w:rsidR="00FF3625" w:rsidRPr="00EE4AEA" w14:paraId="2B150E96" w14:textId="77777777" w:rsidTr="00762223">
        <w:tc>
          <w:tcPr>
            <w:tcW w:w="2886" w:type="dxa"/>
            <w:vMerge/>
            <w:shd w:val="clear" w:color="auto" w:fill="auto"/>
          </w:tcPr>
          <w:p w14:paraId="1950D841" w14:textId="77777777" w:rsidR="00FF3625" w:rsidRPr="00EE4AEA" w:rsidRDefault="00FF3625" w:rsidP="00762223"/>
        </w:tc>
        <w:tc>
          <w:tcPr>
            <w:tcW w:w="1781" w:type="dxa"/>
            <w:shd w:val="clear" w:color="auto" w:fill="auto"/>
          </w:tcPr>
          <w:p w14:paraId="4D84F873" w14:textId="77777777" w:rsidR="00FF3625" w:rsidRPr="00EE4AEA" w:rsidRDefault="00FF3625" w:rsidP="00762223">
            <w:r w:rsidRPr="00EE4AEA">
              <w:t>Результаты первичной диагностики</w:t>
            </w:r>
          </w:p>
          <w:p w14:paraId="013C2E85" w14:textId="77777777" w:rsidR="00FF3625" w:rsidRPr="00EE4AEA" w:rsidRDefault="00FF3625" w:rsidP="00762223">
            <w:r w:rsidRPr="00EE4AEA">
              <w:t xml:space="preserve">1 классы (май 2018) </w:t>
            </w:r>
            <w:r w:rsidRPr="00EE4AEA">
              <w:rPr>
                <w:lang w:val="en-US"/>
              </w:rPr>
              <w:t>n</w:t>
            </w:r>
            <w:r w:rsidRPr="00EE4AEA">
              <w:t>=29</w:t>
            </w:r>
          </w:p>
        </w:tc>
        <w:tc>
          <w:tcPr>
            <w:tcW w:w="1523" w:type="dxa"/>
            <w:shd w:val="clear" w:color="auto" w:fill="auto"/>
          </w:tcPr>
          <w:p w14:paraId="7CD15684" w14:textId="77777777" w:rsidR="00FF3625" w:rsidRPr="00EE4AEA" w:rsidRDefault="00FF3625" w:rsidP="00762223">
            <w:r w:rsidRPr="00EE4AEA">
              <w:t>Результаты динамической диагностики</w:t>
            </w:r>
          </w:p>
          <w:p w14:paraId="05F0FA9F" w14:textId="77777777" w:rsidR="00FF3625" w:rsidRPr="00EE4AEA" w:rsidRDefault="00FF3625" w:rsidP="00762223">
            <w:r w:rsidRPr="00EE4AEA">
              <w:t xml:space="preserve">2 классы (май 2019) </w:t>
            </w:r>
            <w:r w:rsidRPr="00EE4AEA">
              <w:rPr>
                <w:lang w:val="en-US"/>
              </w:rPr>
              <w:t>n</w:t>
            </w:r>
            <w:r w:rsidRPr="00EE4AEA">
              <w:t>=29</w:t>
            </w:r>
          </w:p>
        </w:tc>
        <w:tc>
          <w:tcPr>
            <w:tcW w:w="1523" w:type="dxa"/>
            <w:shd w:val="clear" w:color="auto" w:fill="auto"/>
          </w:tcPr>
          <w:p w14:paraId="08CB5DBD" w14:textId="77777777" w:rsidR="00FF3625" w:rsidRPr="00EE4AEA" w:rsidRDefault="00FF3625" w:rsidP="00762223">
            <w:r w:rsidRPr="00EE4AEA">
              <w:t>Результаты первичной диагностики</w:t>
            </w:r>
          </w:p>
          <w:p w14:paraId="7CD7C312" w14:textId="77777777" w:rsidR="00FF3625" w:rsidRPr="00EE4AEA" w:rsidRDefault="00FF3625" w:rsidP="00762223">
            <w:r w:rsidRPr="00EE4AEA">
              <w:t xml:space="preserve">1 классы (май 2018) </w:t>
            </w:r>
            <w:r w:rsidRPr="00EE4AEA">
              <w:rPr>
                <w:lang w:val="en-US"/>
              </w:rPr>
              <w:t>n</w:t>
            </w:r>
            <w:r w:rsidRPr="00EE4AEA">
              <w:t>=35</w:t>
            </w:r>
          </w:p>
        </w:tc>
        <w:tc>
          <w:tcPr>
            <w:tcW w:w="1523" w:type="dxa"/>
            <w:shd w:val="clear" w:color="auto" w:fill="auto"/>
          </w:tcPr>
          <w:p w14:paraId="7C637834" w14:textId="77777777" w:rsidR="00FF3625" w:rsidRPr="00EE4AEA" w:rsidRDefault="00FF3625" w:rsidP="00762223">
            <w:r w:rsidRPr="00EE4AEA">
              <w:t>Результаты динамической диагностики</w:t>
            </w:r>
          </w:p>
          <w:p w14:paraId="0F076E09" w14:textId="77777777" w:rsidR="00FF3625" w:rsidRPr="00EE4AEA" w:rsidRDefault="00FF3625" w:rsidP="00762223">
            <w:r w:rsidRPr="00EE4AEA">
              <w:t xml:space="preserve">2 классы (май 2019) </w:t>
            </w:r>
            <w:r w:rsidRPr="00EE4AEA">
              <w:rPr>
                <w:lang w:val="en-US"/>
              </w:rPr>
              <w:t>n</w:t>
            </w:r>
            <w:r w:rsidRPr="00EE4AEA">
              <w:t>=30</w:t>
            </w:r>
          </w:p>
        </w:tc>
      </w:tr>
      <w:tr w:rsidR="00FF3625" w:rsidRPr="00EE4AEA" w14:paraId="0E978DAD" w14:textId="77777777" w:rsidTr="00762223">
        <w:tc>
          <w:tcPr>
            <w:tcW w:w="2886" w:type="dxa"/>
            <w:shd w:val="clear" w:color="auto" w:fill="auto"/>
          </w:tcPr>
          <w:p w14:paraId="61DD56A0" w14:textId="77777777" w:rsidR="00FF3625" w:rsidRPr="00EE4AEA" w:rsidRDefault="00FF3625" w:rsidP="00762223">
            <w:r w:rsidRPr="00EE4AEA">
              <w:t>Корректурная проба (продуктивность)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3511291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65,9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842015E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92,6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73B51EF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19,8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9C3260D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24,8</w:t>
            </w:r>
          </w:p>
        </w:tc>
      </w:tr>
      <w:tr w:rsidR="00FF3625" w:rsidRPr="00EE4AEA" w14:paraId="2117E59D" w14:textId="77777777" w:rsidTr="00762223">
        <w:tc>
          <w:tcPr>
            <w:tcW w:w="2886" w:type="dxa"/>
            <w:shd w:val="clear" w:color="auto" w:fill="auto"/>
          </w:tcPr>
          <w:p w14:paraId="6722EE3A" w14:textId="77777777" w:rsidR="00FF3625" w:rsidRPr="00EE4AEA" w:rsidRDefault="00FF3625" w:rsidP="00762223">
            <w:r w:rsidRPr="00EE4AEA">
              <w:t>Корректурная проба (количество ошибок)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21A12BE" w14:textId="77777777" w:rsidR="00FF3625" w:rsidRPr="00EE4AEA" w:rsidRDefault="00FF3625" w:rsidP="00762223">
            <w:pPr>
              <w:jc w:val="center"/>
            </w:pPr>
            <w:r w:rsidRPr="00EE4AEA">
              <w:t>4,3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D4DDD89" w14:textId="77777777" w:rsidR="00FF3625" w:rsidRPr="00EE4AEA" w:rsidRDefault="00FF3625" w:rsidP="00762223">
            <w:pPr>
              <w:jc w:val="center"/>
            </w:pPr>
            <w:r w:rsidRPr="00EE4AEA">
              <w:t>4,7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F38BACB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1,4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E62D87C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1,5</w:t>
            </w:r>
          </w:p>
        </w:tc>
      </w:tr>
      <w:tr w:rsidR="00FF3625" w:rsidRPr="00EE4AEA" w14:paraId="7E4F41C9" w14:textId="77777777" w:rsidTr="00762223">
        <w:tc>
          <w:tcPr>
            <w:tcW w:w="2886" w:type="dxa"/>
            <w:shd w:val="clear" w:color="auto" w:fill="auto"/>
          </w:tcPr>
          <w:p w14:paraId="2CD08656" w14:textId="77777777" w:rsidR="00FF3625" w:rsidRPr="00EE4AEA" w:rsidRDefault="00FF3625" w:rsidP="00762223">
            <w:r w:rsidRPr="00EE4AEA">
              <w:t>Зрительная непрои</w:t>
            </w:r>
            <w:r w:rsidRPr="00EE4AEA">
              <w:t>з</w:t>
            </w:r>
            <w:r w:rsidRPr="00EE4AEA">
              <w:t>вольная память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6BE63F6" w14:textId="77777777" w:rsidR="00FF3625" w:rsidRPr="00EE4AEA" w:rsidRDefault="00FF3625" w:rsidP="00762223">
            <w:pPr>
              <w:jc w:val="center"/>
            </w:pPr>
            <w:r w:rsidRPr="00EE4AEA">
              <w:t>3,8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10DC296" w14:textId="77777777" w:rsidR="00FF3625" w:rsidRPr="00EE4AEA" w:rsidRDefault="00FF3625" w:rsidP="00762223">
            <w:pPr>
              <w:jc w:val="center"/>
            </w:pPr>
            <w:r w:rsidRPr="00EE4AEA">
              <w:t>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EED5BF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5,5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08AF7BF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5,6</w:t>
            </w:r>
          </w:p>
        </w:tc>
      </w:tr>
      <w:tr w:rsidR="00FF3625" w:rsidRPr="00EE4AEA" w14:paraId="426CF53C" w14:textId="77777777" w:rsidTr="00762223">
        <w:tc>
          <w:tcPr>
            <w:tcW w:w="2886" w:type="dxa"/>
            <w:shd w:val="clear" w:color="auto" w:fill="auto"/>
          </w:tcPr>
          <w:p w14:paraId="419BAF56" w14:textId="77777777" w:rsidR="00FF3625" w:rsidRPr="00EE4AEA" w:rsidRDefault="00FF3625" w:rsidP="00762223">
            <w:r w:rsidRPr="00EE4AEA">
              <w:t>Зрительная произвол</w:t>
            </w:r>
            <w:r w:rsidRPr="00EE4AEA">
              <w:t>ь</w:t>
            </w:r>
            <w:r w:rsidRPr="00EE4AEA">
              <w:t>ная память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CA23EB4" w14:textId="77777777" w:rsidR="00FF3625" w:rsidRPr="00EE4AEA" w:rsidRDefault="00FF3625" w:rsidP="00762223">
            <w:pPr>
              <w:jc w:val="center"/>
            </w:pPr>
            <w:r w:rsidRPr="00EE4AEA">
              <w:t>4,1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74C254E" w14:textId="77777777" w:rsidR="00FF3625" w:rsidRPr="00EE4AEA" w:rsidRDefault="00FF3625" w:rsidP="00762223">
            <w:pPr>
              <w:jc w:val="center"/>
            </w:pPr>
            <w:r w:rsidRPr="00EE4AEA">
              <w:t>4,1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F3FF7BA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7,2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40F84F7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7,3</w:t>
            </w:r>
          </w:p>
        </w:tc>
      </w:tr>
      <w:tr w:rsidR="00FF3625" w:rsidRPr="00EE4AEA" w14:paraId="26296907" w14:textId="77777777" w:rsidTr="00762223">
        <w:tc>
          <w:tcPr>
            <w:tcW w:w="2886" w:type="dxa"/>
            <w:shd w:val="clear" w:color="auto" w:fill="auto"/>
          </w:tcPr>
          <w:p w14:paraId="6908E226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(1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4D8C677" w14:textId="77777777" w:rsidR="00FF3625" w:rsidRPr="00EE4AEA" w:rsidRDefault="00FF3625" w:rsidP="00762223">
            <w:pPr>
              <w:jc w:val="center"/>
            </w:pPr>
            <w:r w:rsidRPr="00EE4AEA">
              <w:t>2,8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B4283F8" w14:textId="77777777" w:rsidR="00FF3625" w:rsidRPr="00EE4AEA" w:rsidRDefault="00FF3625" w:rsidP="00762223">
            <w:pPr>
              <w:jc w:val="center"/>
            </w:pPr>
            <w:r w:rsidRPr="00EE4AEA">
              <w:t>3,4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1CD988A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5,8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6198A2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5,4</w:t>
            </w:r>
          </w:p>
        </w:tc>
      </w:tr>
      <w:tr w:rsidR="00FF3625" w:rsidRPr="00EE4AEA" w14:paraId="6D8D2333" w14:textId="77777777" w:rsidTr="00762223">
        <w:tc>
          <w:tcPr>
            <w:tcW w:w="2886" w:type="dxa"/>
            <w:shd w:val="clear" w:color="auto" w:fill="auto"/>
          </w:tcPr>
          <w:p w14:paraId="1DAEF3C8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(2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BCB0902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4,4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7258B43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5,8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5C54A5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6,4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F280678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6,4</w:t>
            </w:r>
          </w:p>
        </w:tc>
      </w:tr>
      <w:tr w:rsidR="00FF3625" w:rsidRPr="00EE4AEA" w14:paraId="5772E9D9" w14:textId="77777777" w:rsidTr="00762223">
        <w:tc>
          <w:tcPr>
            <w:tcW w:w="2886" w:type="dxa"/>
            <w:shd w:val="clear" w:color="auto" w:fill="auto"/>
          </w:tcPr>
          <w:p w14:paraId="5A8C543C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(3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488739D" w14:textId="77777777" w:rsidR="00FF3625" w:rsidRPr="00EE4AEA" w:rsidRDefault="00FF3625" w:rsidP="00762223">
            <w:pPr>
              <w:jc w:val="center"/>
            </w:pPr>
            <w:r w:rsidRPr="00EE4AEA">
              <w:t>5,4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1C82481" w14:textId="77777777" w:rsidR="00FF3625" w:rsidRPr="00EE4AEA" w:rsidRDefault="00FF3625" w:rsidP="00762223">
            <w:pPr>
              <w:jc w:val="center"/>
            </w:pPr>
            <w:r w:rsidRPr="00EE4AEA">
              <w:t>6,4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62D33DE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6,8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F2B9EAB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7,8</w:t>
            </w:r>
          </w:p>
        </w:tc>
      </w:tr>
      <w:tr w:rsidR="00FF3625" w:rsidRPr="00EE4AEA" w14:paraId="68D02BDC" w14:textId="77777777" w:rsidTr="00762223">
        <w:tc>
          <w:tcPr>
            <w:tcW w:w="2886" w:type="dxa"/>
            <w:shd w:val="clear" w:color="auto" w:fill="auto"/>
          </w:tcPr>
          <w:p w14:paraId="6E8220F7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(4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1379C98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D7F263F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7,3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1EB0D1D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7,4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162DD4A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8,4</w:t>
            </w:r>
          </w:p>
        </w:tc>
      </w:tr>
      <w:tr w:rsidR="00FF3625" w:rsidRPr="00EE4AEA" w14:paraId="0E32DE7B" w14:textId="77777777" w:rsidTr="00762223">
        <w:tc>
          <w:tcPr>
            <w:tcW w:w="2886" w:type="dxa"/>
            <w:shd w:val="clear" w:color="auto" w:fill="auto"/>
          </w:tcPr>
          <w:p w14:paraId="152F77CF" w14:textId="77777777" w:rsidR="00FF3625" w:rsidRPr="00EE4AEA" w:rsidRDefault="00FF3625" w:rsidP="00762223">
            <w:r w:rsidRPr="00EE4AEA">
              <w:t xml:space="preserve">Методика </w:t>
            </w:r>
            <w:proofErr w:type="spellStart"/>
            <w:r w:rsidRPr="00EE4AEA">
              <w:t>Лурия</w:t>
            </w:r>
            <w:proofErr w:type="spellEnd"/>
            <w:r w:rsidRPr="00EE4AEA">
              <w:t xml:space="preserve"> (5 воспроизведение)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5913EE5B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4,2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CABEEB3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7,7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AF13A79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8,5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35CE7BC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8,8</w:t>
            </w:r>
          </w:p>
        </w:tc>
      </w:tr>
      <w:tr w:rsidR="00FF3625" w:rsidRPr="00EE4AEA" w14:paraId="54FF8818" w14:textId="77777777" w:rsidTr="00762223">
        <w:tc>
          <w:tcPr>
            <w:tcW w:w="2886" w:type="dxa"/>
            <w:shd w:val="clear" w:color="auto" w:fill="auto"/>
          </w:tcPr>
          <w:p w14:paraId="508DDD97" w14:textId="77777777" w:rsidR="00FF3625" w:rsidRPr="00EE4AEA" w:rsidRDefault="00FF3625" w:rsidP="00762223">
            <w:r w:rsidRPr="00EE4AEA">
              <w:t>Кубики Коса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D7AB994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10,6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82E46CC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16,6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25EC678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37,9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8F0B293" w14:textId="77777777" w:rsidR="00FF3625" w:rsidRPr="00EE4AEA" w:rsidRDefault="00FF3625" w:rsidP="00762223">
            <w:pPr>
              <w:jc w:val="center"/>
              <w:rPr>
                <w:color w:val="000000"/>
              </w:rPr>
            </w:pPr>
            <w:r w:rsidRPr="00EE4AEA">
              <w:rPr>
                <w:color w:val="000000"/>
              </w:rPr>
              <w:t>38,7</w:t>
            </w:r>
          </w:p>
        </w:tc>
      </w:tr>
      <w:tr w:rsidR="00FF3625" w:rsidRPr="00EE4AEA" w14:paraId="27B87AD1" w14:textId="77777777" w:rsidTr="00762223">
        <w:tc>
          <w:tcPr>
            <w:tcW w:w="2886" w:type="dxa"/>
            <w:shd w:val="clear" w:color="auto" w:fill="auto"/>
          </w:tcPr>
          <w:p w14:paraId="6A14E0A0" w14:textId="77777777" w:rsidR="00FF3625" w:rsidRPr="00EE4AEA" w:rsidRDefault="00FF3625" w:rsidP="00762223">
            <w:r w:rsidRPr="00EE4AEA">
              <w:t>Исключение лишнего (невербальный вар</w:t>
            </w:r>
            <w:r w:rsidRPr="00EE4AEA">
              <w:t>и</w:t>
            </w:r>
            <w:r w:rsidRPr="00EE4AEA">
              <w:t>ант)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DFA4725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0,8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5883B4B" w14:textId="77777777" w:rsidR="00FF3625" w:rsidRPr="00EE4AEA" w:rsidRDefault="00FF3625" w:rsidP="00762223">
            <w:pPr>
              <w:jc w:val="center"/>
              <w:rPr>
                <w:b/>
              </w:rPr>
            </w:pPr>
            <w:r w:rsidRPr="00EE4AEA">
              <w:rPr>
                <w:b/>
              </w:rPr>
              <w:t>0,9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5798D2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98E6B55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0,9</w:t>
            </w:r>
          </w:p>
        </w:tc>
      </w:tr>
      <w:tr w:rsidR="00FF3625" w:rsidRPr="00EE4AEA" w14:paraId="5829CBCF" w14:textId="77777777" w:rsidTr="00762223">
        <w:tc>
          <w:tcPr>
            <w:tcW w:w="2886" w:type="dxa"/>
            <w:shd w:val="clear" w:color="auto" w:fill="auto"/>
            <w:vAlign w:val="center"/>
          </w:tcPr>
          <w:p w14:paraId="6B4C5CB8" w14:textId="77777777" w:rsidR="00FF3625" w:rsidRPr="00EE4AEA" w:rsidRDefault="00FF3625" w:rsidP="00762223">
            <w:r w:rsidRPr="00EE4AEA">
              <w:t>Агрессивность (по оценке родителей)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6B8DF2E8" w14:textId="77777777" w:rsidR="00FF3625" w:rsidRPr="00EE4AEA" w:rsidRDefault="00FF3625" w:rsidP="00762223">
            <w:pPr>
              <w:jc w:val="center"/>
            </w:pPr>
            <w:r w:rsidRPr="00EE4AEA">
              <w:t>5,7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FAC960F" w14:textId="77777777" w:rsidR="00FF3625" w:rsidRPr="00EE4AEA" w:rsidRDefault="00FF3625" w:rsidP="00762223">
            <w:pPr>
              <w:jc w:val="center"/>
            </w:pPr>
            <w:r w:rsidRPr="00EE4AEA">
              <w:t>5,9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B0586F4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E171FBF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-</w:t>
            </w:r>
          </w:p>
        </w:tc>
      </w:tr>
      <w:tr w:rsidR="00FF3625" w:rsidRPr="00EE4AEA" w14:paraId="7C39ECF1" w14:textId="77777777" w:rsidTr="00762223">
        <w:tc>
          <w:tcPr>
            <w:tcW w:w="2886" w:type="dxa"/>
            <w:shd w:val="clear" w:color="auto" w:fill="auto"/>
            <w:vAlign w:val="center"/>
          </w:tcPr>
          <w:p w14:paraId="567CB3EB" w14:textId="77777777" w:rsidR="00FF3625" w:rsidRPr="00EE4AEA" w:rsidRDefault="00FF3625" w:rsidP="00762223">
            <w:r w:rsidRPr="00EE4AEA">
              <w:t>Тревожность (по оце</w:t>
            </w:r>
            <w:r w:rsidRPr="00EE4AEA">
              <w:t>н</w:t>
            </w:r>
            <w:r w:rsidRPr="00EE4AEA">
              <w:t>ке родителей)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90F118C" w14:textId="77777777" w:rsidR="00FF3625" w:rsidRPr="00EE4AEA" w:rsidRDefault="00FF3625" w:rsidP="00762223">
            <w:pPr>
              <w:jc w:val="center"/>
            </w:pPr>
            <w:r w:rsidRPr="00EE4AEA">
              <w:t>5,7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220CCCD" w14:textId="77777777" w:rsidR="00FF3625" w:rsidRPr="00EE4AEA" w:rsidRDefault="00FF3625" w:rsidP="00762223">
            <w:pPr>
              <w:jc w:val="center"/>
            </w:pPr>
            <w:r w:rsidRPr="00EE4AEA">
              <w:t>5,8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F5D9D00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255D029C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-</w:t>
            </w:r>
          </w:p>
        </w:tc>
      </w:tr>
      <w:tr w:rsidR="00FF3625" w:rsidRPr="00EE4AEA" w14:paraId="47A660CF" w14:textId="77777777" w:rsidTr="00762223">
        <w:tc>
          <w:tcPr>
            <w:tcW w:w="2886" w:type="dxa"/>
            <w:shd w:val="clear" w:color="auto" w:fill="auto"/>
            <w:vAlign w:val="center"/>
          </w:tcPr>
          <w:p w14:paraId="5543C453" w14:textId="77777777" w:rsidR="00FF3625" w:rsidRPr="00EE4AEA" w:rsidRDefault="00FF3625" w:rsidP="00762223">
            <w:r w:rsidRPr="00EE4AEA">
              <w:t>Импульсивность (по оценке родителей)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3CF77D9" w14:textId="77777777" w:rsidR="00FF3625" w:rsidRPr="00EE4AEA" w:rsidRDefault="00FF3625" w:rsidP="00762223">
            <w:pPr>
              <w:jc w:val="center"/>
            </w:pPr>
            <w:r w:rsidRPr="00EE4AEA">
              <w:t>9,3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935958C" w14:textId="77777777" w:rsidR="00FF3625" w:rsidRPr="00EE4AEA" w:rsidRDefault="00FF3625" w:rsidP="00762223">
            <w:pPr>
              <w:jc w:val="center"/>
            </w:pPr>
            <w:r w:rsidRPr="00EE4AEA">
              <w:t>9,7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7B71445" w14:textId="77777777" w:rsidR="00FF3625" w:rsidRPr="00EE4AEA" w:rsidRDefault="00FF3625" w:rsidP="00762223">
            <w:pPr>
              <w:jc w:val="center"/>
            </w:pPr>
            <w:r w:rsidRPr="00EE4AEA">
              <w:t>-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59170EF" w14:textId="77777777" w:rsidR="00FF3625" w:rsidRPr="00EE4AEA" w:rsidRDefault="00FF3625" w:rsidP="00762223">
            <w:pPr>
              <w:jc w:val="center"/>
              <w:rPr>
                <w:b/>
                <w:bCs/>
                <w:color w:val="000000"/>
              </w:rPr>
            </w:pPr>
            <w:r w:rsidRPr="00EE4AEA">
              <w:rPr>
                <w:b/>
                <w:bCs/>
                <w:color w:val="000000"/>
              </w:rPr>
              <w:t>-</w:t>
            </w:r>
          </w:p>
        </w:tc>
      </w:tr>
      <w:tr w:rsidR="00FF3625" w:rsidRPr="00EE4AEA" w14:paraId="53B66F62" w14:textId="77777777" w:rsidTr="00762223">
        <w:tc>
          <w:tcPr>
            <w:tcW w:w="2886" w:type="dxa"/>
            <w:shd w:val="clear" w:color="auto" w:fill="auto"/>
            <w:vAlign w:val="center"/>
          </w:tcPr>
          <w:p w14:paraId="54DCB2D3" w14:textId="77777777" w:rsidR="00FF3625" w:rsidRPr="00EE4AEA" w:rsidRDefault="00FF3625" w:rsidP="00762223">
            <w:r w:rsidRPr="00EE4AEA">
              <w:t>Агрессивность (по оценке педагога)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1C52963" w14:textId="77777777" w:rsidR="00FF3625" w:rsidRPr="00EE4AEA" w:rsidRDefault="00FF3625" w:rsidP="00762223">
            <w:pPr>
              <w:jc w:val="center"/>
            </w:pPr>
            <w:r w:rsidRPr="00EE4AEA">
              <w:t>2,6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73D1818B" w14:textId="77777777" w:rsidR="00FF3625" w:rsidRPr="00EE4AEA" w:rsidRDefault="00FF3625" w:rsidP="00762223">
            <w:pPr>
              <w:jc w:val="center"/>
            </w:pPr>
            <w:r w:rsidRPr="00EE4AEA">
              <w:t>3,1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763B5BF" w14:textId="77777777" w:rsidR="00FF3625" w:rsidRPr="00EE4AEA" w:rsidRDefault="00FF3625" w:rsidP="00762223">
            <w:pPr>
              <w:jc w:val="center"/>
            </w:pPr>
            <w:r w:rsidRPr="00EE4AEA">
              <w:t>1,3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7402ACA" w14:textId="77777777" w:rsidR="00FF3625" w:rsidRPr="00EE4AEA" w:rsidRDefault="00FF3625" w:rsidP="00762223">
            <w:pPr>
              <w:jc w:val="center"/>
              <w:rPr>
                <w:bCs/>
                <w:color w:val="000000"/>
              </w:rPr>
            </w:pPr>
            <w:r w:rsidRPr="00EE4AEA">
              <w:rPr>
                <w:bCs/>
                <w:color w:val="000000"/>
              </w:rPr>
              <w:t>1,5</w:t>
            </w:r>
          </w:p>
        </w:tc>
      </w:tr>
      <w:tr w:rsidR="00FF3625" w:rsidRPr="00EE4AEA" w14:paraId="548FB401" w14:textId="77777777" w:rsidTr="00762223">
        <w:tc>
          <w:tcPr>
            <w:tcW w:w="2886" w:type="dxa"/>
            <w:shd w:val="clear" w:color="auto" w:fill="auto"/>
            <w:vAlign w:val="center"/>
          </w:tcPr>
          <w:p w14:paraId="18DBE0F0" w14:textId="77777777" w:rsidR="00FF3625" w:rsidRPr="00EE4AEA" w:rsidRDefault="00FF3625" w:rsidP="00762223">
            <w:r w:rsidRPr="00EE4AEA">
              <w:t>Тревожность (по оце</w:t>
            </w:r>
            <w:r w:rsidRPr="00EE4AEA">
              <w:t>н</w:t>
            </w:r>
            <w:r w:rsidRPr="00EE4AEA">
              <w:t>ке педагога)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65124F7" w14:textId="77777777" w:rsidR="00FF3625" w:rsidRPr="00EE4AEA" w:rsidRDefault="00FF3625" w:rsidP="00762223">
            <w:pPr>
              <w:jc w:val="center"/>
            </w:pPr>
            <w:r w:rsidRPr="00EE4AEA">
              <w:t>5,4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203E00A" w14:textId="77777777" w:rsidR="00FF3625" w:rsidRPr="00EE4AEA" w:rsidRDefault="00FF3625" w:rsidP="00762223">
            <w:pPr>
              <w:jc w:val="center"/>
            </w:pPr>
            <w:r w:rsidRPr="00EE4AEA">
              <w:t>5,7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9B69DF9" w14:textId="77777777" w:rsidR="00FF3625" w:rsidRPr="00EE4AEA" w:rsidRDefault="00FF3625" w:rsidP="00762223">
            <w:pPr>
              <w:jc w:val="center"/>
            </w:pPr>
            <w:r w:rsidRPr="00EE4AEA">
              <w:t>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4DD73817" w14:textId="77777777" w:rsidR="00FF3625" w:rsidRPr="00EE4AEA" w:rsidRDefault="00FF3625" w:rsidP="00762223">
            <w:pPr>
              <w:jc w:val="center"/>
              <w:rPr>
                <w:bCs/>
                <w:color w:val="000000"/>
              </w:rPr>
            </w:pPr>
            <w:r w:rsidRPr="00EE4AEA">
              <w:rPr>
                <w:bCs/>
                <w:color w:val="000000"/>
              </w:rPr>
              <w:t>1,6</w:t>
            </w:r>
          </w:p>
        </w:tc>
      </w:tr>
      <w:tr w:rsidR="00FF3625" w:rsidRPr="00EE4AEA" w14:paraId="3B5711B8" w14:textId="77777777" w:rsidTr="00762223">
        <w:tc>
          <w:tcPr>
            <w:tcW w:w="2886" w:type="dxa"/>
            <w:shd w:val="clear" w:color="auto" w:fill="auto"/>
            <w:vAlign w:val="center"/>
          </w:tcPr>
          <w:p w14:paraId="27F9688D" w14:textId="77777777" w:rsidR="00FF3625" w:rsidRPr="00EE4AEA" w:rsidRDefault="00FF3625" w:rsidP="00762223">
            <w:r w:rsidRPr="00EE4AEA">
              <w:t>Импульсивность (по оценке педагога)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62CA910" w14:textId="77777777" w:rsidR="00FF3625" w:rsidRPr="00EE4AEA" w:rsidRDefault="00FF3625" w:rsidP="00762223">
            <w:pPr>
              <w:jc w:val="center"/>
            </w:pPr>
            <w:r w:rsidRPr="00EE4AEA">
              <w:t>6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A5E9B5D" w14:textId="77777777" w:rsidR="00FF3625" w:rsidRPr="00EE4AEA" w:rsidRDefault="00FF3625" w:rsidP="00762223">
            <w:pPr>
              <w:jc w:val="center"/>
            </w:pPr>
            <w:r w:rsidRPr="00EE4AEA">
              <w:t>7,7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A7AFC60" w14:textId="77777777" w:rsidR="00FF3625" w:rsidRPr="00EE4AEA" w:rsidRDefault="00FF3625" w:rsidP="00762223">
            <w:pPr>
              <w:jc w:val="center"/>
            </w:pPr>
            <w:r w:rsidRPr="00EE4AEA">
              <w:t>1,1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B30D48E" w14:textId="77777777" w:rsidR="00FF3625" w:rsidRPr="00EE4AEA" w:rsidRDefault="00FF3625" w:rsidP="00762223">
            <w:pPr>
              <w:jc w:val="center"/>
              <w:rPr>
                <w:bCs/>
                <w:color w:val="000000"/>
              </w:rPr>
            </w:pPr>
            <w:r w:rsidRPr="00EE4AEA">
              <w:rPr>
                <w:bCs/>
                <w:color w:val="000000"/>
              </w:rPr>
              <w:t>2</w:t>
            </w:r>
          </w:p>
        </w:tc>
      </w:tr>
    </w:tbl>
    <w:p w14:paraId="164F9A49" w14:textId="77777777" w:rsidR="00FF3625" w:rsidRPr="00EE4AEA" w:rsidRDefault="00FF3625" w:rsidP="00FF3625"/>
    <w:p w14:paraId="06DE9F37" w14:textId="77777777" w:rsidR="00FF3625" w:rsidRPr="00EE4AEA" w:rsidRDefault="00FF3625" w:rsidP="00FF3625">
      <w:r w:rsidRPr="00EE4AEA">
        <w:t>Примечание: жирным шрифтом выделены показатели, по которым получены достоверные о</w:t>
      </w:r>
      <w:r w:rsidRPr="00EE4AEA">
        <w:t>т</w:t>
      </w:r>
      <w:r w:rsidRPr="00EE4AEA">
        <w:t>личия при р≤0,05</w:t>
      </w:r>
    </w:p>
    <w:p w14:paraId="258EB967" w14:textId="77777777" w:rsidR="00FF3625" w:rsidRPr="00EE4AEA" w:rsidRDefault="00FF3625" w:rsidP="00FF3625"/>
    <w:p w14:paraId="6F6B75A3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>У первоклассников с СДВГ, обучающихся в школе № 5 и школе-интернате № 49, выявл</w:t>
      </w:r>
      <w:r w:rsidRPr="00EE4AEA">
        <w:t>е</w:t>
      </w:r>
      <w:r w:rsidRPr="00EE4AEA">
        <w:t>на сходная динамика изучаемых показателей сформированности когнитивных процессов. У д</w:t>
      </w:r>
      <w:r w:rsidRPr="00EE4AEA">
        <w:t>е</w:t>
      </w:r>
      <w:r w:rsidRPr="00EE4AEA">
        <w:t>тей отмечается повышение продуктивности внимания при незначительном изменении колич</w:t>
      </w:r>
      <w:r w:rsidRPr="00EE4AEA">
        <w:t>е</w:t>
      </w:r>
      <w:r w:rsidRPr="00EE4AEA">
        <w:t>ства ошибок, что отражает положительную динамику развития этого психического процесса. Состояние зрительной произвольной и непроизвольной памяти мало изменилось, в то время как объем вербальной памяти увеличился (различия достоверны при р≤0,05). Существенно, что наиболее выраженные изменения фиксируются для последних (3-5) попыток воспроизведения, что отражает снижение истощаемости детей. Показатель сформированности невербального мышления (методика кубики Коса) демонстрирует положительную динамику в обеих группах, однако достоверных значений достигают различия, полученные у обучающихся ГБОУ школы №5.</w:t>
      </w:r>
    </w:p>
    <w:p w14:paraId="088CEA86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t>Динамики в проявлении агрессии, тревоги и импульсивности не обнаружено.</w:t>
      </w:r>
    </w:p>
    <w:p w14:paraId="210DD758" w14:textId="77777777" w:rsidR="00FF3625" w:rsidRPr="00EE4AEA" w:rsidRDefault="00FF3625" w:rsidP="00FF3625">
      <w:pPr>
        <w:spacing w:line="360" w:lineRule="auto"/>
        <w:ind w:firstLine="567"/>
        <w:jc w:val="both"/>
      </w:pPr>
      <w:r w:rsidRPr="00EE4AEA">
        <w:rPr>
          <w:b/>
        </w:rPr>
        <w:t>Резюме</w:t>
      </w:r>
      <w:r w:rsidRPr="00EE4AEA">
        <w:t>:  наиболее значимая положительная динамика у исследуемых обучающихся обр</w:t>
      </w:r>
      <w:r w:rsidRPr="00EE4AEA">
        <w:t>а</w:t>
      </w:r>
      <w:r w:rsidRPr="00EE4AEA">
        <w:t>зовательных учреждений-участников сетевого кластера отмечается в развитии внимания и п</w:t>
      </w:r>
      <w:r w:rsidRPr="00EE4AEA">
        <w:t>а</w:t>
      </w:r>
      <w:r w:rsidRPr="00EE4AEA">
        <w:t>мяти, а также в снижении истощаемости внимания.</w:t>
      </w:r>
    </w:p>
    <w:p w14:paraId="2B0B1B71" w14:textId="77777777" w:rsidR="003863DC" w:rsidRDefault="003863DC"/>
    <w:sectPr w:rsidR="003863DC" w:rsidSect="004D4A3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25"/>
    <w:rsid w:val="003863DC"/>
    <w:rsid w:val="004D4A34"/>
    <w:rsid w:val="00C57B40"/>
    <w:rsid w:val="00FF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D09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5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qFormat/>
    <w:rsid w:val="00C57B4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FF362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  <w:lang w:val="x-none" w:eastAsia="x-none"/>
    </w:rPr>
  </w:style>
  <w:style w:type="character" w:customStyle="1" w:styleId="a4">
    <w:name w:val="Отступ основного текста Знак"/>
    <w:basedOn w:val="a0"/>
    <w:uiPriority w:val="99"/>
    <w:semiHidden/>
    <w:rsid w:val="00FF3625"/>
    <w:rPr>
      <w:rFonts w:ascii="Times New Roman" w:eastAsia="Calibri" w:hAnsi="Times New Roman" w:cs="Times New Roman"/>
    </w:rPr>
  </w:style>
  <w:style w:type="character" w:customStyle="1" w:styleId="1">
    <w:name w:val="Отступ основного текста Знак1"/>
    <w:link w:val="a3"/>
    <w:locked/>
    <w:rsid w:val="00FF3625"/>
    <w:rPr>
      <w:rFonts w:ascii="Arial" w:eastAsia="Calibri" w:hAnsi="Arial" w:cs="Times New Roman"/>
      <w:sz w:val="1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57B40"/>
    <w:rPr>
      <w:rFonts w:ascii="Arial" w:eastAsia="Calibri" w:hAnsi="Arial" w:cs="Times New Roman"/>
      <w:b/>
      <w:sz w:val="26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625"/>
    <w:rPr>
      <w:rFonts w:ascii="Times New Roman" w:eastAsia="Calibri" w:hAnsi="Times New Roman" w:cs="Times New Roman"/>
    </w:rPr>
  </w:style>
  <w:style w:type="paragraph" w:styleId="3">
    <w:name w:val="heading 3"/>
    <w:basedOn w:val="a"/>
    <w:next w:val="a"/>
    <w:link w:val="30"/>
    <w:qFormat/>
    <w:rsid w:val="00C57B40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rsid w:val="00FF3625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  <w:sz w:val="18"/>
      <w:szCs w:val="20"/>
      <w:lang w:val="x-none" w:eastAsia="x-none"/>
    </w:rPr>
  </w:style>
  <w:style w:type="character" w:customStyle="1" w:styleId="a4">
    <w:name w:val="Отступ основного текста Знак"/>
    <w:basedOn w:val="a0"/>
    <w:uiPriority w:val="99"/>
    <w:semiHidden/>
    <w:rsid w:val="00FF3625"/>
    <w:rPr>
      <w:rFonts w:ascii="Times New Roman" w:eastAsia="Calibri" w:hAnsi="Times New Roman" w:cs="Times New Roman"/>
    </w:rPr>
  </w:style>
  <w:style w:type="character" w:customStyle="1" w:styleId="1">
    <w:name w:val="Отступ основного текста Знак1"/>
    <w:link w:val="a3"/>
    <w:locked/>
    <w:rsid w:val="00FF3625"/>
    <w:rPr>
      <w:rFonts w:ascii="Arial" w:eastAsia="Calibri" w:hAnsi="Arial" w:cs="Times New Roman"/>
      <w:sz w:val="1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C57B40"/>
    <w:rPr>
      <w:rFonts w:ascii="Arial" w:eastAsia="Calibri" w:hAnsi="Arial" w:cs="Times New Roman"/>
      <w:b/>
      <w:sz w:val="26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1445</Words>
  <Characters>11002</Characters>
  <Application>Microsoft Macintosh Word</Application>
  <DocSecurity>0</DocSecurity>
  <Lines>250</Lines>
  <Paragraphs>64</Paragraphs>
  <ScaleCrop>false</ScaleCrop>
  <Company/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D</dc:creator>
  <cp:keywords/>
  <dc:description/>
  <cp:lastModifiedBy>Roman D</cp:lastModifiedBy>
  <cp:revision>2</cp:revision>
  <dcterms:created xsi:type="dcterms:W3CDTF">2020-08-25T09:41:00Z</dcterms:created>
  <dcterms:modified xsi:type="dcterms:W3CDTF">2020-08-25T09:45:00Z</dcterms:modified>
</cp:coreProperties>
</file>